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F9" w:rsidRDefault="000942F9" w:rsidP="000942F9">
      <w:pPr>
        <w:spacing w:after="0" w:line="240" w:lineRule="auto"/>
        <w:jc w:val="center"/>
        <w:rPr>
          <w:b/>
          <w:sz w:val="24"/>
          <w:szCs w:val="24"/>
        </w:rPr>
      </w:pPr>
      <w:bookmarkStart w:id="0" w:name="_GoBack"/>
      <w:bookmarkEnd w:id="0"/>
    </w:p>
    <w:p w:rsidR="000942F9" w:rsidRDefault="000942F9" w:rsidP="000942F9">
      <w:pPr>
        <w:spacing w:after="0" w:line="240" w:lineRule="auto"/>
        <w:jc w:val="center"/>
        <w:rPr>
          <w:b/>
          <w:sz w:val="24"/>
          <w:szCs w:val="24"/>
        </w:rPr>
      </w:pPr>
      <w:r>
        <w:rPr>
          <w:noProof/>
          <w:lang w:eastAsia="fr-FR"/>
        </w:rPr>
        <w:drawing>
          <wp:inline distT="0" distB="0" distL="0" distR="0" wp14:anchorId="57EA2FFE" wp14:editId="4E401251">
            <wp:extent cx="2559600" cy="565200"/>
            <wp:effectExtent l="0" t="0" r="0" b="6350"/>
            <wp:docPr id="11" name="Image 11" descr="C:\Users\gadam.CORP\Pictures\logo_objfibre540.png"/>
            <wp:cNvGraphicFramePr/>
            <a:graphic xmlns:a="http://schemas.openxmlformats.org/drawingml/2006/main">
              <a:graphicData uri="http://schemas.openxmlformats.org/drawingml/2006/picture">
                <pic:pic xmlns:pic="http://schemas.openxmlformats.org/drawingml/2006/picture">
                  <pic:nvPicPr>
                    <pic:cNvPr id="11" name="Image 11" descr="C:\Users\gadam.CORP\Pictures\logo_objfibre540.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9600" cy="565200"/>
                    </a:xfrm>
                    <a:prstGeom prst="rect">
                      <a:avLst/>
                    </a:prstGeom>
                    <a:noFill/>
                    <a:ln>
                      <a:noFill/>
                    </a:ln>
                  </pic:spPr>
                </pic:pic>
              </a:graphicData>
            </a:graphic>
          </wp:inline>
        </w:drawing>
      </w:r>
    </w:p>
    <w:p w:rsidR="000942F9" w:rsidRDefault="000942F9" w:rsidP="000942F9">
      <w:pPr>
        <w:spacing w:after="0" w:line="240" w:lineRule="auto"/>
        <w:jc w:val="center"/>
        <w:rPr>
          <w:b/>
          <w:sz w:val="24"/>
          <w:szCs w:val="24"/>
        </w:rPr>
      </w:pPr>
    </w:p>
    <w:p w:rsidR="000942F9" w:rsidRDefault="000942F9" w:rsidP="000942F9">
      <w:pPr>
        <w:spacing w:after="0" w:line="240" w:lineRule="auto"/>
        <w:jc w:val="center"/>
        <w:rPr>
          <w:b/>
          <w:sz w:val="24"/>
          <w:szCs w:val="24"/>
        </w:rPr>
      </w:pPr>
    </w:p>
    <w:p w:rsidR="000942F9" w:rsidRPr="00DA3207" w:rsidRDefault="000942F9" w:rsidP="000942F9">
      <w:pPr>
        <w:spacing w:after="0" w:line="240" w:lineRule="auto"/>
        <w:jc w:val="cente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AF077F">
        <w:rPr>
          <w:b/>
          <w:sz w:val="24"/>
          <w:szCs w:val="24"/>
        </w:rPr>
        <w:t xml:space="preserve">  </w:t>
      </w:r>
      <w:r w:rsidRPr="00DA3207">
        <w:rPr>
          <w:sz w:val="24"/>
          <w:szCs w:val="24"/>
        </w:rPr>
        <w:t xml:space="preserve">Paris, </w:t>
      </w:r>
    </w:p>
    <w:p w:rsidR="000942F9" w:rsidRPr="00DA3207" w:rsidRDefault="000942F9" w:rsidP="000942F9">
      <w:pPr>
        <w:spacing w:after="0" w:line="240"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A3207">
        <w:rPr>
          <w:sz w:val="24"/>
          <w:szCs w:val="24"/>
        </w:rPr>
        <w:t xml:space="preserve">Le </w:t>
      </w:r>
      <w:r w:rsidR="00AF077F">
        <w:rPr>
          <w:sz w:val="24"/>
          <w:szCs w:val="24"/>
        </w:rPr>
        <w:t>6 décembre 2017</w:t>
      </w:r>
    </w:p>
    <w:p w:rsidR="000942F9" w:rsidRDefault="000942F9" w:rsidP="000942F9">
      <w:pPr>
        <w:spacing w:after="0" w:line="240" w:lineRule="auto"/>
        <w:jc w:val="center"/>
        <w:rPr>
          <w:b/>
          <w:sz w:val="24"/>
          <w:szCs w:val="24"/>
        </w:rPr>
      </w:pPr>
    </w:p>
    <w:p w:rsidR="000942F9" w:rsidRDefault="000942F9" w:rsidP="000942F9">
      <w:pPr>
        <w:spacing w:after="0" w:line="240" w:lineRule="auto"/>
        <w:jc w:val="center"/>
        <w:rPr>
          <w:b/>
          <w:sz w:val="24"/>
          <w:szCs w:val="24"/>
        </w:rPr>
      </w:pPr>
      <w:r>
        <w:rPr>
          <w:b/>
          <w:sz w:val="24"/>
          <w:szCs w:val="24"/>
        </w:rPr>
        <w:t>Communiqué de presse</w:t>
      </w:r>
    </w:p>
    <w:p w:rsidR="000942F9" w:rsidRDefault="000942F9" w:rsidP="000942F9">
      <w:pPr>
        <w:spacing w:after="0" w:line="240" w:lineRule="auto"/>
        <w:jc w:val="center"/>
        <w:rPr>
          <w:b/>
          <w:sz w:val="24"/>
          <w:szCs w:val="24"/>
        </w:rPr>
      </w:pPr>
    </w:p>
    <w:p w:rsidR="000942F9" w:rsidRPr="007F20DE" w:rsidRDefault="000942F9" w:rsidP="000942F9">
      <w:pPr>
        <w:spacing w:after="0" w:line="240" w:lineRule="auto"/>
        <w:jc w:val="center"/>
        <w:rPr>
          <w:b/>
          <w:sz w:val="24"/>
          <w:szCs w:val="24"/>
        </w:rPr>
      </w:pPr>
      <w:r w:rsidRPr="007F20DE">
        <w:rPr>
          <w:b/>
          <w:sz w:val="24"/>
          <w:szCs w:val="24"/>
        </w:rPr>
        <w:t xml:space="preserve">Objectif fibre accompagne le déploiement de la fibre optique en publiant un guide pratique sur </w:t>
      </w:r>
      <w:r w:rsidR="00AF077F">
        <w:rPr>
          <w:b/>
          <w:sz w:val="24"/>
          <w:szCs w:val="24"/>
        </w:rPr>
        <w:t>le raccordement et le câblage des locaux individuels neufs à un réseau en fibre optique</w:t>
      </w:r>
    </w:p>
    <w:p w:rsidR="000942F9" w:rsidRPr="007F20DE" w:rsidRDefault="000942F9" w:rsidP="000942F9">
      <w:pPr>
        <w:spacing w:after="0" w:line="240" w:lineRule="auto"/>
        <w:jc w:val="both"/>
        <w:rPr>
          <w:b/>
          <w:sz w:val="24"/>
          <w:szCs w:val="24"/>
        </w:rPr>
      </w:pPr>
    </w:p>
    <w:p w:rsidR="000942F9" w:rsidRDefault="006A5B6C" w:rsidP="000942F9">
      <w:pPr>
        <w:spacing w:after="0" w:line="240" w:lineRule="auto"/>
        <w:jc w:val="both"/>
        <w:rPr>
          <w:sz w:val="24"/>
          <w:szCs w:val="24"/>
        </w:rPr>
      </w:pPr>
      <w:r>
        <w:rPr>
          <w:sz w:val="24"/>
          <w:szCs w:val="24"/>
        </w:rPr>
        <w:t>Ce nouveau</w:t>
      </w:r>
      <w:r w:rsidR="00AF077F">
        <w:rPr>
          <w:sz w:val="24"/>
          <w:szCs w:val="24"/>
        </w:rPr>
        <w:t xml:space="preserve"> </w:t>
      </w:r>
      <w:r w:rsidR="000942F9" w:rsidRPr="00E315C6">
        <w:rPr>
          <w:sz w:val="24"/>
          <w:szCs w:val="24"/>
        </w:rPr>
        <w:t xml:space="preserve">guide pratique dédié </w:t>
      </w:r>
      <w:r w:rsidR="00AF077F">
        <w:rPr>
          <w:sz w:val="24"/>
          <w:szCs w:val="24"/>
        </w:rPr>
        <w:t>au</w:t>
      </w:r>
      <w:r w:rsidR="000942F9">
        <w:rPr>
          <w:b/>
          <w:sz w:val="24"/>
          <w:szCs w:val="24"/>
        </w:rPr>
        <w:t xml:space="preserve"> </w:t>
      </w:r>
      <w:r w:rsidR="00AF077F">
        <w:rPr>
          <w:b/>
          <w:sz w:val="24"/>
          <w:szCs w:val="24"/>
        </w:rPr>
        <w:t>raccordement et au câblage des locaux individuels neufs (maisons individuelles ou locaux professionnels) à un réseau en fibre optique</w:t>
      </w:r>
      <w:r w:rsidR="00AF077F">
        <w:rPr>
          <w:rFonts w:eastAsia="CenturyGothic" w:cs="CenturyGothic"/>
          <w:sz w:val="24"/>
          <w:szCs w:val="24"/>
        </w:rPr>
        <w:t xml:space="preserve"> </w:t>
      </w:r>
      <w:r>
        <w:rPr>
          <w:sz w:val="24"/>
          <w:szCs w:val="24"/>
        </w:rPr>
        <w:t xml:space="preserve">a été présenté à l’occasion d’un </w:t>
      </w:r>
      <w:r w:rsidRPr="006E71DB">
        <w:rPr>
          <w:b/>
          <w:sz w:val="24"/>
          <w:szCs w:val="24"/>
        </w:rPr>
        <w:t>grand colloque le 6 décembre 2017</w:t>
      </w:r>
      <w:r>
        <w:rPr>
          <w:sz w:val="24"/>
          <w:szCs w:val="24"/>
        </w:rPr>
        <w:t xml:space="preserve"> rassemblant les acteurs de la filière d’excellence fibre optique, suivi d’une visite de stands montrant les équipements liés et les applications possibles permises par un réseau fibre. </w:t>
      </w:r>
      <w:r w:rsidR="000942F9" w:rsidRPr="00E315C6">
        <w:rPr>
          <w:sz w:val="24"/>
          <w:szCs w:val="24"/>
        </w:rPr>
        <w:t xml:space="preserve">  </w:t>
      </w:r>
    </w:p>
    <w:p w:rsidR="006A5B6C" w:rsidRDefault="006A5B6C" w:rsidP="000942F9">
      <w:pPr>
        <w:spacing w:after="0" w:line="240" w:lineRule="auto"/>
        <w:jc w:val="both"/>
        <w:rPr>
          <w:sz w:val="24"/>
          <w:szCs w:val="24"/>
        </w:rPr>
      </w:pPr>
    </w:p>
    <w:p w:rsidR="000942F9" w:rsidRDefault="00AF077F" w:rsidP="000942F9">
      <w:pPr>
        <w:spacing w:after="0" w:line="240" w:lineRule="auto"/>
        <w:jc w:val="center"/>
        <w:rPr>
          <w:sz w:val="24"/>
          <w:szCs w:val="24"/>
        </w:rPr>
      </w:pPr>
      <w:r>
        <w:rPr>
          <w:noProof/>
          <w:sz w:val="24"/>
          <w:szCs w:val="24"/>
          <w:lang w:eastAsia="fr-FR"/>
        </w:rPr>
        <w:drawing>
          <wp:inline distT="0" distB="0" distL="0" distR="0">
            <wp:extent cx="1152000" cy="162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000" cy="1620000"/>
                    </a:xfrm>
                    <a:prstGeom prst="rect">
                      <a:avLst/>
                    </a:prstGeom>
                    <a:noFill/>
                    <a:ln>
                      <a:noFill/>
                    </a:ln>
                  </pic:spPr>
                </pic:pic>
              </a:graphicData>
            </a:graphic>
          </wp:inline>
        </w:drawing>
      </w:r>
    </w:p>
    <w:p w:rsidR="000942F9" w:rsidRPr="00E315C6" w:rsidRDefault="000942F9" w:rsidP="000942F9">
      <w:pPr>
        <w:spacing w:after="0" w:line="240" w:lineRule="auto"/>
        <w:jc w:val="both"/>
        <w:rPr>
          <w:sz w:val="24"/>
          <w:szCs w:val="24"/>
        </w:rPr>
      </w:pPr>
    </w:p>
    <w:p w:rsidR="00AF077F" w:rsidRPr="00AF077F" w:rsidRDefault="00AF077F" w:rsidP="00AF077F">
      <w:pPr>
        <w:autoSpaceDE w:val="0"/>
        <w:autoSpaceDN w:val="0"/>
        <w:adjustRightInd w:val="0"/>
        <w:spacing w:after="0" w:line="240" w:lineRule="auto"/>
        <w:jc w:val="both"/>
        <w:rPr>
          <w:rFonts w:eastAsia="CenturyGothic" w:cs="CenturyGothic"/>
          <w:sz w:val="24"/>
          <w:szCs w:val="20"/>
        </w:rPr>
      </w:pPr>
      <w:r w:rsidRPr="00AF077F">
        <w:rPr>
          <w:rFonts w:eastAsia="CenturyGothic" w:cs="CenturyGothic"/>
          <w:sz w:val="24"/>
          <w:szCs w:val="20"/>
        </w:rPr>
        <w:t xml:space="preserve">Ce </w:t>
      </w:r>
      <w:r w:rsidR="006A5B6C">
        <w:rPr>
          <w:rFonts w:eastAsia="CenturyGothic" w:cs="CenturyGothic"/>
          <w:sz w:val="24"/>
          <w:szCs w:val="20"/>
        </w:rPr>
        <w:t>7</w:t>
      </w:r>
      <w:r w:rsidR="006A5B6C" w:rsidRPr="006A5B6C">
        <w:rPr>
          <w:rFonts w:eastAsia="CenturyGothic" w:cs="CenturyGothic"/>
          <w:sz w:val="24"/>
          <w:szCs w:val="20"/>
          <w:vertAlign w:val="superscript"/>
        </w:rPr>
        <w:t>ème</w:t>
      </w:r>
      <w:r w:rsidR="006A5B6C">
        <w:rPr>
          <w:rFonts w:eastAsia="CenturyGothic" w:cs="CenturyGothic"/>
          <w:sz w:val="24"/>
          <w:szCs w:val="20"/>
        </w:rPr>
        <w:t xml:space="preserve"> </w:t>
      </w:r>
      <w:r w:rsidRPr="00AF077F">
        <w:rPr>
          <w:rFonts w:eastAsia="CenturyGothic" w:cs="CenturyGothic"/>
          <w:sz w:val="24"/>
          <w:szCs w:val="20"/>
        </w:rPr>
        <w:t>guide</w:t>
      </w:r>
      <w:r w:rsidR="006A5B6C">
        <w:rPr>
          <w:rFonts w:eastAsia="CenturyGothic" w:cs="CenturyGothic"/>
          <w:sz w:val="24"/>
          <w:szCs w:val="20"/>
        </w:rPr>
        <w:t xml:space="preserve"> pratique</w:t>
      </w:r>
      <w:r w:rsidRPr="00AF077F">
        <w:rPr>
          <w:rFonts w:eastAsia="CenturyGothic" w:cs="CenturyGothic"/>
          <w:sz w:val="24"/>
          <w:szCs w:val="20"/>
        </w:rPr>
        <w:t xml:space="preserve"> actualise le guide « Raccordement des maisons individuelles neuves au réseau en fibre optique </w:t>
      </w:r>
      <w:proofErr w:type="spellStart"/>
      <w:r w:rsidRPr="00AF077F">
        <w:rPr>
          <w:rFonts w:eastAsia="CenturyGothic" w:cs="CenturyGothic"/>
          <w:sz w:val="24"/>
          <w:szCs w:val="20"/>
        </w:rPr>
        <w:t>FttH</w:t>
      </w:r>
      <w:proofErr w:type="spellEnd"/>
      <w:r w:rsidRPr="00AF077F">
        <w:rPr>
          <w:rFonts w:eastAsia="CenturyGothic" w:cs="CenturyGothic"/>
          <w:sz w:val="24"/>
          <w:szCs w:val="20"/>
        </w:rPr>
        <w:t xml:space="preserve"> » (septembre 2013) et complète le guide « Raccordement des locaux professionnels au réseau en fibre optique </w:t>
      </w:r>
      <w:proofErr w:type="spellStart"/>
      <w:r w:rsidRPr="00AF077F">
        <w:rPr>
          <w:rFonts w:eastAsia="CenturyGothic" w:cs="CenturyGothic"/>
          <w:sz w:val="24"/>
          <w:szCs w:val="20"/>
        </w:rPr>
        <w:t>FttH</w:t>
      </w:r>
      <w:proofErr w:type="spellEnd"/>
      <w:r w:rsidRPr="00AF077F">
        <w:rPr>
          <w:rFonts w:eastAsia="CenturyGothic" w:cs="CenturyGothic"/>
          <w:sz w:val="24"/>
          <w:szCs w:val="20"/>
        </w:rPr>
        <w:t xml:space="preserve"> » (janvier 2015). Il vise à </w:t>
      </w:r>
      <w:r w:rsidRPr="00AF077F">
        <w:rPr>
          <w:rFonts w:eastAsia="CenturyGothic" w:cs="CenturyGothic"/>
          <w:b/>
          <w:sz w:val="24"/>
          <w:szCs w:val="20"/>
        </w:rPr>
        <w:t>préparer le raccordement de toute nouvelle construction de locaux individuels</w:t>
      </w:r>
      <w:r w:rsidRPr="00AF077F">
        <w:rPr>
          <w:rFonts w:eastAsia="CenturyGothic" w:cs="CenturyGothic"/>
          <w:sz w:val="24"/>
          <w:szCs w:val="20"/>
        </w:rPr>
        <w:t xml:space="preserve"> (à usage professionnel ou d’habitation) à un réseau en fibre optique mutualisé, désigné par le terme </w:t>
      </w:r>
      <w:proofErr w:type="spellStart"/>
      <w:r w:rsidRPr="00AF077F">
        <w:rPr>
          <w:rFonts w:eastAsia="CenturyGothic" w:cs="CenturyGothic"/>
          <w:sz w:val="24"/>
          <w:szCs w:val="20"/>
        </w:rPr>
        <w:t>FttH</w:t>
      </w:r>
      <w:proofErr w:type="spellEnd"/>
      <w:r w:rsidRPr="00AF077F">
        <w:rPr>
          <w:rFonts w:eastAsia="CenturyGothic" w:cs="CenturyGothic"/>
          <w:sz w:val="24"/>
          <w:szCs w:val="20"/>
        </w:rPr>
        <w:t xml:space="preserve"> (</w:t>
      </w:r>
      <w:proofErr w:type="spellStart"/>
      <w:r w:rsidRPr="006E71DB">
        <w:rPr>
          <w:rFonts w:eastAsia="CenturyGothic" w:cs="CenturyGothic"/>
          <w:i/>
          <w:sz w:val="24"/>
          <w:szCs w:val="20"/>
        </w:rPr>
        <w:t>Fiber</w:t>
      </w:r>
      <w:proofErr w:type="spellEnd"/>
      <w:r w:rsidRPr="006E71DB">
        <w:rPr>
          <w:rFonts w:eastAsia="CenturyGothic" w:cs="CenturyGothic"/>
          <w:i/>
          <w:sz w:val="24"/>
          <w:szCs w:val="20"/>
        </w:rPr>
        <w:t xml:space="preserve"> to the Home</w:t>
      </w:r>
      <w:r w:rsidRPr="00AF077F">
        <w:rPr>
          <w:rFonts w:eastAsia="CenturyGothic" w:cs="CenturyGothic"/>
          <w:sz w:val="24"/>
          <w:szCs w:val="20"/>
        </w:rPr>
        <w:t xml:space="preserve"> – Fibre jusqu’à l’abonné). Il concerne également certaines rénovations ainsi que les lotissements neufs.</w:t>
      </w: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AF077F" w:rsidRPr="00AF077F" w:rsidRDefault="00AF077F" w:rsidP="00AF077F">
      <w:pPr>
        <w:autoSpaceDE w:val="0"/>
        <w:autoSpaceDN w:val="0"/>
        <w:adjustRightInd w:val="0"/>
        <w:spacing w:after="0" w:line="240" w:lineRule="auto"/>
        <w:jc w:val="both"/>
        <w:rPr>
          <w:rFonts w:eastAsia="CenturyGothic" w:cs="CenturyGothic"/>
          <w:sz w:val="24"/>
          <w:szCs w:val="20"/>
        </w:rPr>
      </w:pPr>
      <w:r w:rsidRPr="00AF077F">
        <w:rPr>
          <w:rFonts w:eastAsia="CenturyGothic" w:cs="CenturyGothic"/>
          <w:sz w:val="24"/>
          <w:szCs w:val="20"/>
        </w:rPr>
        <w:t xml:space="preserve">Il a pour ambition de </w:t>
      </w:r>
      <w:r w:rsidRPr="00AF077F">
        <w:rPr>
          <w:rFonts w:eastAsia="CenturyGothic" w:cs="CenturyGothic"/>
          <w:b/>
          <w:sz w:val="24"/>
          <w:szCs w:val="20"/>
        </w:rPr>
        <w:t>répondre aux nombreuses interrogations des professionnels</w:t>
      </w:r>
      <w:r>
        <w:rPr>
          <w:rFonts w:eastAsia="CenturyGothic" w:cs="CenturyGothic"/>
          <w:sz w:val="24"/>
          <w:szCs w:val="20"/>
        </w:rPr>
        <w:t xml:space="preserve"> concernés </w:t>
      </w:r>
      <w:r w:rsidRPr="00AF077F">
        <w:rPr>
          <w:rFonts w:eastAsia="CenturyGothic" w:cs="CenturyGothic"/>
          <w:sz w:val="24"/>
          <w:szCs w:val="20"/>
        </w:rPr>
        <w:t>:</w:t>
      </w:r>
    </w:p>
    <w:p w:rsidR="00AF077F" w:rsidRPr="00AF077F" w:rsidRDefault="00AF077F" w:rsidP="00AF077F">
      <w:pPr>
        <w:pStyle w:val="Paragraphedeliste"/>
        <w:numPr>
          <w:ilvl w:val="0"/>
          <w:numId w:val="3"/>
        </w:numPr>
        <w:autoSpaceDE w:val="0"/>
        <w:autoSpaceDN w:val="0"/>
        <w:adjustRightInd w:val="0"/>
        <w:spacing w:after="0" w:line="240" w:lineRule="auto"/>
        <w:rPr>
          <w:rFonts w:eastAsia="CenturyGothic" w:cs="CenturyGothic"/>
          <w:sz w:val="24"/>
          <w:szCs w:val="20"/>
        </w:rPr>
      </w:pPr>
      <w:r w:rsidRPr="00AF077F">
        <w:rPr>
          <w:rFonts w:eastAsia="CenturyGothic" w:cs="CenturyGothic"/>
          <w:sz w:val="24"/>
          <w:szCs w:val="20"/>
        </w:rPr>
        <w:t>qu’impose la réglementation ?</w:t>
      </w:r>
    </w:p>
    <w:p w:rsidR="00AF077F" w:rsidRPr="00D35041" w:rsidRDefault="00AF077F" w:rsidP="00D35041">
      <w:pPr>
        <w:pStyle w:val="Paragraphedeliste"/>
        <w:numPr>
          <w:ilvl w:val="0"/>
          <w:numId w:val="3"/>
        </w:numPr>
        <w:autoSpaceDE w:val="0"/>
        <w:autoSpaceDN w:val="0"/>
        <w:adjustRightInd w:val="0"/>
        <w:spacing w:after="0" w:line="240" w:lineRule="auto"/>
        <w:jc w:val="both"/>
        <w:rPr>
          <w:rFonts w:eastAsia="CenturyGothic" w:cs="CenturyGothic"/>
          <w:sz w:val="24"/>
          <w:szCs w:val="20"/>
        </w:rPr>
      </w:pPr>
      <w:r w:rsidRPr="00AF077F">
        <w:rPr>
          <w:rFonts w:eastAsia="CenturyGothic" w:cs="CenturyGothic"/>
          <w:sz w:val="24"/>
          <w:szCs w:val="20"/>
        </w:rPr>
        <w:t>comment concevoir et construire le réseau de</w:t>
      </w:r>
      <w:r w:rsidR="00D35041">
        <w:rPr>
          <w:rFonts w:eastAsia="CenturyGothic" w:cs="CenturyGothic"/>
          <w:sz w:val="24"/>
          <w:szCs w:val="20"/>
        </w:rPr>
        <w:t xml:space="preserve"> </w:t>
      </w:r>
      <w:r w:rsidRPr="00D35041">
        <w:rPr>
          <w:rFonts w:eastAsia="CenturyGothic" w:cs="CenturyGothic"/>
          <w:sz w:val="24"/>
          <w:szCs w:val="20"/>
        </w:rPr>
        <w:t>communications électroniques à très haut débit</w:t>
      </w:r>
      <w:r w:rsidR="00D35041">
        <w:rPr>
          <w:rFonts w:eastAsia="CenturyGothic" w:cs="CenturyGothic"/>
          <w:sz w:val="24"/>
          <w:szCs w:val="20"/>
        </w:rPr>
        <w:t xml:space="preserve"> </w:t>
      </w:r>
      <w:r w:rsidRPr="00D35041">
        <w:rPr>
          <w:rFonts w:eastAsia="CenturyGothic" w:cs="CenturyGothic"/>
          <w:sz w:val="24"/>
          <w:szCs w:val="20"/>
        </w:rPr>
        <w:t>interne à l’immeuble bâti ?</w:t>
      </w:r>
    </w:p>
    <w:p w:rsidR="00AF077F" w:rsidRPr="00AF077F" w:rsidRDefault="00AF077F" w:rsidP="00AF077F">
      <w:pPr>
        <w:pStyle w:val="Paragraphedeliste"/>
        <w:numPr>
          <w:ilvl w:val="0"/>
          <w:numId w:val="3"/>
        </w:numPr>
        <w:autoSpaceDE w:val="0"/>
        <w:autoSpaceDN w:val="0"/>
        <w:adjustRightInd w:val="0"/>
        <w:spacing w:after="0" w:line="240" w:lineRule="auto"/>
        <w:rPr>
          <w:rFonts w:eastAsia="CenturyGothic" w:cs="CenturyGothic"/>
          <w:sz w:val="24"/>
          <w:szCs w:val="20"/>
        </w:rPr>
      </w:pPr>
      <w:r w:rsidRPr="00AF077F">
        <w:rPr>
          <w:rFonts w:eastAsia="CenturyGothic" w:cs="CenturyGothic"/>
          <w:sz w:val="24"/>
          <w:szCs w:val="20"/>
        </w:rPr>
        <w:t>quels matériels utiliser ?</w:t>
      </w:r>
    </w:p>
    <w:p w:rsidR="00AF077F" w:rsidRPr="00AF077F" w:rsidRDefault="00AF077F" w:rsidP="00AF077F">
      <w:pPr>
        <w:pStyle w:val="Paragraphedeliste"/>
        <w:numPr>
          <w:ilvl w:val="0"/>
          <w:numId w:val="3"/>
        </w:numPr>
        <w:autoSpaceDE w:val="0"/>
        <w:autoSpaceDN w:val="0"/>
        <w:adjustRightInd w:val="0"/>
        <w:spacing w:after="0" w:line="240" w:lineRule="auto"/>
        <w:rPr>
          <w:rFonts w:eastAsia="CenturyGothic" w:cs="CenturyGothic"/>
          <w:sz w:val="24"/>
          <w:szCs w:val="20"/>
        </w:rPr>
      </w:pPr>
      <w:r w:rsidRPr="00AF077F">
        <w:rPr>
          <w:rFonts w:eastAsia="CenturyGothic" w:cs="CenturyGothic"/>
          <w:sz w:val="24"/>
          <w:szCs w:val="20"/>
        </w:rPr>
        <w:t>quelles sont les règles de l’art dans ce domaine ?</w:t>
      </w:r>
    </w:p>
    <w:p w:rsidR="00AF077F" w:rsidRPr="00AF077F" w:rsidRDefault="00AF077F" w:rsidP="00AF077F">
      <w:pPr>
        <w:pStyle w:val="Paragraphedeliste"/>
        <w:numPr>
          <w:ilvl w:val="0"/>
          <w:numId w:val="3"/>
        </w:numPr>
        <w:autoSpaceDE w:val="0"/>
        <w:autoSpaceDN w:val="0"/>
        <w:adjustRightInd w:val="0"/>
        <w:spacing w:after="0" w:line="240" w:lineRule="auto"/>
        <w:rPr>
          <w:rFonts w:eastAsia="CenturyGothic" w:cs="CenturyGothic"/>
          <w:sz w:val="24"/>
          <w:szCs w:val="20"/>
        </w:rPr>
      </w:pPr>
      <w:r w:rsidRPr="00AF077F">
        <w:rPr>
          <w:rFonts w:eastAsia="CenturyGothic" w:cs="CenturyGothic"/>
          <w:sz w:val="24"/>
          <w:szCs w:val="20"/>
        </w:rPr>
        <w:t>quels contrôles effectuer ?</w:t>
      </w: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AF077F" w:rsidRPr="00AF077F" w:rsidRDefault="00AF077F" w:rsidP="00AF077F">
      <w:pPr>
        <w:autoSpaceDE w:val="0"/>
        <w:autoSpaceDN w:val="0"/>
        <w:adjustRightInd w:val="0"/>
        <w:spacing w:after="0" w:line="240" w:lineRule="auto"/>
        <w:rPr>
          <w:rFonts w:eastAsia="CenturyGothic" w:cs="CenturyGothic"/>
          <w:sz w:val="24"/>
          <w:szCs w:val="20"/>
        </w:rPr>
      </w:pPr>
    </w:p>
    <w:p w:rsidR="000942F9" w:rsidRPr="00AF077F" w:rsidRDefault="00AF077F" w:rsidP="00AF077F">
      <w:pPr>
        <w:autoSpaceDE w:val="0"/>
        <w:autoSpaceDN w:val="0"/>
        <w:adjustRightInd w:val="0"/>
        <w:spacing w:after="0" w:line="240" w:lineRule="auto"/>
        <w:jc w:val="both"/>
        <w:rPr>
          <w:rFonts w:eastAsia="CenturyGothic" w:cs="CenturyGothic"/>
          <w:sz w:val="24"/>
          <w:szCs w:val="20"/>
        </w:rPr>
      </w:pPr>
      <w:r w:rsidRPr="00AF077F">
        <w:rPr>
          <w:rFonts w:eastAsia="CenturyGothic" w:cs="CenturyGothic"/>
          <w:sz w:val="24"/>
          <w:szCs w:val="20"/>
        </w:rPr>
        <w:t xml:space="preserve">A partir de diverses situations rencontrées en secteur urbain ou diffus, ce guide préconise des </w:t>
      </w:r>
      <w:r w:rsidRPr="006E71DB">
        <w:rPr>
          <w:rFonts w:eastAsia="CenturyGothic" w:cs="CenturyGothic"/>
          <w:b/>
          <w:sz w:val="24"/>
          <w:szCs w:val="20"/>
        </w:rPr>
        <w:t>solutions concrètes applicables à chaque cas recensé</w:t>
      </w:r>
      <w:r w:rsidRPr="00AF077F">
        <w:rPr>
          <w:rFonts w:eastAsia="CenturyGothic" w:cs="CenturyGothic"/>
          <w:sz w:val="24"/>
          <w:szCs w:val="20"/>
        </w:rPr>
        <w:t xml:space="preserve">. Il </w:t>
      </w:r>
      <w:r w:rsidRPr="006E71DB">
        <w:rPr>
          <w:rFonts w:eastAsia="CenturyGothic" w:cs="CenturyGothic"/>
          <w:b/>
          <w:sz w:val="24"/>
          <w:szCs w:val="20"/>
        </w:rPr>
        <w:t>expose les bonnes pratiques</w:t>
      </w:r>
      <w:r w:rsidRPr="00AF077F">
        <w:rPr>
          <w:rFonts w:eastAsia="CenturyGothic" w:cs="CenturyGothic"/>
          <w:sz w:val="24"/>
          <w:szCs w:val="20"/>
        </w:rPr>
        <w:t xml:space="preserve"> qui président à la construction d’un réseau optique interne au bâtiment neuf en s’appuyant sur la règlementation et les normes en vigueur. La création de surfaces nouvelles dans des bâtiments existants (par surélévation ou addition) ou le changement d’affectation de locaux résidentiels convertis en locaux professionnels (et vice versa) sont également </w:t>
      </w:r>
      <w:r w:rsidR="006A5B6C">
        <w:rPr>
          <w:rFonts w:eastAsia="CenturyGothic" w:cs="CenturyGothic"/>
          <w:sz w:val="24"/>
          <w:szCs w:val="20"/>
        </w:rPr>
        <w:t>traités</w:t>
      </w:r>
      <w:r w:rsidRPr="00AF077F">
        <w:rPr>
          <w:rFonts w:eastAsia="CenturyGothic" w:cs="CenturyGothic"/>
          <w:sz w:val="24"/>
          <w:szCs w:val="20"/>
        </w:rPr>
        <w:t>.</w:t>
      </w:r>
    </w:p>
    <w:p w:rsidR="00AF077F" w:rsidRPr="00E315C6" w:rsidRDefault="00AF077F" w:rsidP="000942F9">
      <w:pPr>
        <w:spacing w:after="0" w:line="240" w:lineRule="auto"/>
        <w:jc w:val="both"/>
        <w:rPr>
          <w:rFonts w:eastAsia="CenturyGothic" w:cs="CenturyGothic"/>
          <w:sz w:val="24"/>
          <w:szCs w:val="24"/>
        </w:rPr>
      </w:pPr>
    </w:p>
    <w:p w:rsidR="000942F9" w:rsidRDefault="000942F9" w:rsidP="000942F9">
      <w:pPr>
        <w:autoSpaceDE w:val="0"/>
        <w:autoSpaceDN w:val="0"/>
        <w:adjustRightInd w:val="0"/>
        <w:spacing w:after="0" w:line="240" w:lineRule="auto"/>
        <w:jc w:val="both"/>
        <w:rPr>
          <w:sz w:val="24"/>
          <w:szCs w:val="24"/>
        </w:rPr>
      </w:pPr>
      <w:r w:rsidRPr="00E315C6">
        <w:rPr>
          <w:sz w:val="24"/>
          <w:szCs w:val="24"/>
        </w:rPr>
        <w:t xml:space="preserve">Objectif fibre offre donc avec ce guide de portée nationale un </w:t>
      </w:r>
      <w:r w:rsidRPr="006E71DB">
        <w:rPr>
          <w:b/>
          <w:sz w:val="24"/>
          <w:szCs w:val="24"/>
        </w:rPr>
        <w:t>cadre technique commun, stable et cohéren</w:t>
      </w:r>
      <w:r w:rsidRPr="00E315C6">
        <w:rPr>
          <w:sz w:val="24"/>
          <w:szCs w:val="24"/>
        </w:rPr>
        <w:t xml:space="preserve">t à tous les acteurs qui seront amenés à déployer la fibre dans ces types de bâtiment. </w:t>
      </w:r>
      <w:r>
        <w:rPr>
          <w:sz w:val="24"/>
          <w:szCs w:val="24"/>
        </w:rPr>
        <w:t>Accessible librement sur le site d’Objectif fibre (</w:t>
      </w:r>
      <w:hyperlink r:id="rId10" w:history="1">
        <w:r w:rsidRPr="008B7164">
          <w:rPr>
            <w:rStyle w:val="Lienhypertexte"/>
            <w:sz w:val="24"/>
            <w:szCs w:val="24"/>
          </w:rPr>
          <w:t>www.objectif-fibre.fr</w:t>
        </w:r>
      </w:hyperlink>
      <w:r>
        <w:rPr>
          <w:sz w:val="24"/>
          <w:szCs w:val="24"/>
        </w:rPr>
        <w:t xml:space="preserve">), ce guide vise à devenir le référent en s’adressant à tout l’écosystème du THD. </w:t>
      </w:r>
    </w:p>
    <w:p w:rsidR="000942F9" w:rsidRPr="00E315C6" w:rsidRDefault="000942F9" w:rsidP="000942F9">
      <w:pPr>
        <w:autoSpaceDE w:val="0"/>
        <w:autoSpaceDN w:val="0"/>
        <w:adjustRightInd w:val="0"/>
        <w:spacing w:after="0" w:line="240" w:lineRule="auto"/>
        <w:jc w:val="both"/>
        <w:rPr>
          <w:sz w:val="24"/>
          <w:szCs w:val="24"/>
        </w:rPr>
      </w:pPr>
    </w:p>
    <w:p w:rsidR="000942F9" w:rsidRDefault="002525C9" w:rsidP="000942F9">
      <w:pPr>
        <w:spacing w:after="0" w:line="240" w:lineRule="auto"/>
        <w:jc w:val="both"/>
        <w:rPr>
          <w:sz w:val="24"/>
          <w:szCs w:val="24"/>
        </w:rPr>
      </w:pPr>
      <w:r>
        <w:rPr>
          <w:sz w:val="24"/>
          <w:szCs w:val="24"/>
        </w:rPr>
        <w:t>Marc LEBLANC, Président d’Objectif fibre souligne : « </w:t>
      </w:r>
      <w:r w:rsidR="000942F9" w:rsidRPr="002525C9">
        <w:rPr>
          <w:i/>
          <w:sz w:val="24"/>
          <w:szCs w:val="24"/>
        </w:rPr>
        <w:t xml:space="preserve">Fruit d’un important travail </w:t>
      </w:r>
      <w:r w:rsidR="000942F9" w:rsidRPr="002525C9">
        <w:rPr>
          <w:i/>
          <w:iCs/>
          <w:sz w:val="24"/>
          <w:szCs w:val="24"/>
        </w:rPr>
        <w:t>d’échanges et de concertation associant notamment les organisations professionnelles représentant les équipementiers, les opérateurs et les installateurs,</w:t>
      </w:r>
      <w:r w:rsidR="006E71DB" w:rsidRPr="002525C9">
        <w:rPr>
          <w:i/>
          <w:iCs/>
          <w:sz w:val="24"/>
          <w:szCs w:val="24"/>
        </w:rPr>
        <w:t xml:space="preserve"> les industries des réseaux d’initiative publique</w:t>
      </w:r>
      <w:r w:rsidR="002E7780">
        <w:rPr>
          <w:i/>
          <w:iCs/>
          <w:sz w:val="24"/>
          <w:szCs w:val="24"/>
        </w:rPr>
        <w:t>,</w:t>
      </w:r>
      <w:r w:rsidR="000942F9" w:rsidRPr="002525C9">
        <w:rPr>
          <w:i/>
          <w:iCs/>
          <w:sz w:val="24"/>
          <w:szCs w:val="24"/>
        </w:rPr>
        <w:t xml:space="preserve"> les centres de formation, </w:t>
      </w:r>
      <w:r w:rsidR="000A4F84">
        <w:rPr>
          <w:i/>
          <w:iCs/>
          <w:sz w:val="24"/>
          <w:szCs w:val="24"/>
        </w:rPr>
        <w:t>les bureaux d’études,</w:t>
      </w:r>
      <w:r w:rsidR="000942F9" w:rsidRPr="002525C9">
        <w:rPr>
          <w:i/>
          <w:iCs/>
          <w:sz w:val="24"/>
          <w:szCs w:val="24"/>
        </w:rPr>
        <w:t xml:space="preserve"> la Mission Très Haut Débit, l’ARCEP, le CEREMA, </w:t>
      </w:r>
      <w:r w:rsidR="006E71DB" w:rsidRPr="002525C9">
        <w:rPr>
          <w:i/>
          <w:iCs/>
          <w:sz w:val="24"/>
          <w:szCs w:val="24"/>
        </w:rPr>
        <w:t xml:space="preserve">l’AFNOR, </w:t>
      </w:r>
      <w:r w:rsidR="000942F9" w:rsidRPr="002525C9">
        <w:rPr>
          <w:i/>
          <w:iCs/>
          <w:sz w:val="24"/>
          <w:szCs w:val="24"/>
        </w:rPr>
        <w:t xml:space="preserve">le CREDO, </w:t>
      </w:r>
      <w:proofErr w:type="spellStart"/>
      <w:r w:rsidR="000942F9" w:rsidRPr="002525C9">
        <w:rPr>
          <w:i/>
          <w:iCs/>
          <w:sz w:val="24"/>
          <w:szCs w:val="24"/>
        </w:rPr>
        <w:t>Promotelec</w:t>
      </w:r>
      <w:proofErr w:type="spellEnd"/>
      <w:r w:rsidR="000942F9" w:rsidRPr="002525C9">
        <w:rPr>
          <w:i/>
          <w:iCs/>
          <w:sz w:val="24"/>
          <w:szCs w:val="24"/>
        </w:rPr>
        <w:t>,</w:t>
      </w:r>
      <w:r>
        <w:rPr>
          <w:i/>
          <w:iCs/>
          <w:sz w:val="24"/>
          <w:szCs w:val="24"/>
        </w:rPr>
        <w:t xml:space="preserve"> </w:t>
      </w:r>
      <w:r w:rsidR="006E71DB" w:rsidRPr="002525C9">
        <w:rPr>
          <w:i/>
          <w:iCs/>
          <w:sz w:val="24"/>
          <w:szCs w:val="24"/>
        </w:rPr>
        <w:t>l’UNAM</w:t>
      </w:r>
      <w:r w:rsidR="000942F9" w:rsidRPr="002525C9">
        <w:rPr>
          <w:i/>
          <w:iCs/>
          <w:sz w:val="24"/>
          <w:szCs w:val="24"/>
        </w:rPr>
        <w:t xml:space="preserve">, la FPI, </w:t>
      </w:r>
      <w:r w:rsidR="006E71DB" w:rsidRPr="002525C9">
        <w:rPr>
          <w:i/>
          <w:iCs/>
          <w:sz w:val="24"/>
          <w:szCs w:val="24"/>
        </w:rPr>
        <w:t xml:space="preserve">la </w:t>
      </w:r>
      <w:r w:rsidR="000942F9" w:rsidRPr="002525C9">
        <w:rPr>
          <w:i/>
          <w:iCs/>
          <w:sz w:val="24"/>
          <w:szCs w:val="24"/>
        </w:rPr>
        <w:t>LCA-FFB - les Constructeurs et Aménageurs,</w:t>
      </w:r>
      <w:r w:rsidR="000942F9" w:rsidRPr="002525C9">
        <w:rPr>
          <w:rFonts w:eastAsia="CenturyGothic" w:cs="CenturyGothic"/>
          <w:i/>
          <w:sz w:val="24"/>
          <w:szCs w:val="24"/>
        </w:rPr>
        <w:t xml:space="preserve"> i</w:t>
      </w:r>
      <w:r w:rsidR="000942F9" w:rsidRPr="002525C9">
        <w:rPr>
          <w:i/>
          <w:sz w:val="24"/>
          <w:szCs w:val="24"/>
        </w:rPr>
        <w:t xml:space="preserve">l contribuera à la conformité du déploiement et du raccordement au réseau </w:t>
      </w:r>
      <w:proofErr w:type="spellStart"/>
      <w:r w:rsidR="000942F9" w:rsidRPr="002525C9">
        <w:rPr>
          <w:i/>
          <w:sz w:val="24"/>
          <w:szCs w:val="24"/>
        </w:rPr>
        <w:t>FttH</w:t>
      </w:r>
      <w:proofErr w:type="spellEnd"/>
      <w:r w:rsidR="000942F9" w:rsidRPr="002525C9">
        <w:rPr>
          <w:i/>
          <w:sz w:val="24"/>
          <w:szCs w:val="24"/>
        </w:rPr>
        <w:t xml:space="preserve"> dans le respect des spécifications techniques</w:t>
      </w:r>
      <w:r w:rsidR="002E7780">
        <w:rPr>
          <w:i/>
          <w:sz w:val="24"/>
          <w:szCs w:val="24"/>
        </w:rPr>
        <w:t>, ainsi qu’à accroî</w:t>
      </w:r>
      <w:r w:rsidR="000942F9" w:rsidRPr="002525C9">
        <w:rPr>
          <w:i/>
          <w:sz w:val="24"/>
          <w:szCs w:val="24"/>
        </w:rPr>
        <w:t>tre la qualité et l’homogénéité des infrastructures passives THD et donc à garantir leur pérennité.</w:t>
      </w:r>
      <w:r w:rsidRPr="002525C9">
        <w:rPr>
          <w:i/>
          <w:sz w:val="24"/>
          <w:szCs w:val="24"/>
        </w:rPr>
        <w:t> »</w:t>
      </w:r>
    </w:p>
    <w:p w:rsidR="000942F9" w:rsidRDefault="000942F9" w:rsidP="000942F9">
      <w:pPr>
        <w:spacing w:after="0" w:line="240" w:lineRule="auto"/>
        <w:jc w:val="both"/>
        <w:rPr>
          <w:sz w:val="24"/>
          <w:szCs w:val="24"/>
        </w:rPr>
      </w:pPr>
    </w:p>
    <w:p w:rsidR="000942F9" w:rsidRDefault="000942F9" w:rsidP="000942F9">
      <w:pPr>
        <w:spacing w:after="0" w:line="240" w:lineRule="auto"/>
        <w:jc w:val="both"/>
        <w:rPr>
          <w:rFonts w:eastAsia="CenturyGothic" w:cs="CenturyGothic"/>
          <w:sz w:val="24"/>
          <w:szCs w:val="24"/>
        </w:rPr>
      </w:pPr>
    </w:p>
    <w:p w:rsidR="000942F9" w:rsidRDefault="000942F9" w:rsidP="000942F9">
      <w:pPr>
        <w:tabs>
          <w:tab w:val="left" w:pos="2325"/>
        </w:tabs>
        <w:jc w:val="center"/>
        <w:rPr>
          <w:rFonts w:eastAsia="CenturyGothic" w:cs="CenturyGothic"/>
          <w:sz w:val="20"/>
          <w:szCs w:val="24"/>
        </w:rPr>
      </w:pPr>
      <w:r>
        <w:rPr>
          <w:rFonts w:eastAsia="CenturyGothic" w:cs="CenturyGothic"/>
          <w:sz w:val="20"/>
          <w:szCs w:val="24"/>
        </w:rPr>
        <w:t>***</w:t>
      </w:r>
    </w:p>
    <w:p w:rsidR="000942F9" w:rsidRDefault="000942F9" w:rsidP="000942F9">
      <w:pPr>
        <w:spacing w:after="120" w:line="240" w:lineRule="auto"/>
        <w:jc w:val="both"/>
        <w:rPr>
          <w:sz w:val="24"/>
        </w:rPr>
      </w:pPr>
      <w:r w:rsidRPr="007F4750">
        <w:rPr>
          <w:sz w:val="24"/>
        </w:rPr>
        <w:t xml:space="preserve">Objectif Fibre est une plateforme de travail qui vise à </w:t>
      </w:r>
      <w:r w:rsidRPr="006E71DB">
        <w:rPr>
          <w:b/>
          <w:sz w:val="24"/>
        </w:rPr>
        <w:t>identifier et lever les freins opérationnels à un déploiement massif</w:t>
      </w:r>
      <w:r w:rsidR="006E71DB" w:rsidRPr="006E71DB">
        <w:rPr>
          <w:b/>
          <w:sz w:val="24"/>
        </w:rPr>
        <w:t xml:space="preserve"> de la fibre optique</w:t>
      </w:r>
      <w:r w:rsidRPr="007F4750">
        <w:rPr>
          <w:sz w:val="24"/>
        </w:rPr>
        <w:t>. Elle est composée de</w:t>
      </w:r>
      <w:r>
        <w:rPr>
          <w:sz w:val="24"/>
        </w:rPr>
        <w:t> :</w:t>
      </w:r>
    </w:p>
    <w:p w:rsidR="000942F9" w:rsidRDefault="00900C50" w:rsidP="000942F9">
      <w:pPr>
        <w:pStyle w:val="Paragraphedeliste"/>
        <w:numPr>
          <w:ilvl w:val="0"/>
          <w:numId w:val="2"/>
        </w:numPr>
        <w:spacing w:line="240" w:lineRule="auto"/>
        <w:jc w:val="both"/>
        <w:rPr>
          <w:sz w:val="24"/>
        </w:rPr>
      </w:pPr>
      <w:r>
        <w:rPr>
          <w:sz w:val="24"/>
        </w:rPr>
        <w:t>la Fédération des E</w:t>
      </w:r>
      <w:r w:rsidR="000942F9" w:rsidRPr="007C7881">
        <w:rPr>
          <w:sz w:val="24"/>
        </w:rPr>
        <w:t xml:space="preserve">ntreprises de Génie Electrique et Energétique (FFIE), </w:t>
      </w:r>
    </w:p>
    <w:p w:rsidR="009C79EA" w:rsidRDefault="00900C50" w:rsidP="009C79EA">
      <w:pPr>
        <w:pStyle w:val="Paragraphedeliste"/>
        <w:numPr>
          <w:ilvl w:val="0"/>
          <w:numId w:val="2"/>
        </w:numPr>
        <w:spacing w:line="240" w:lineRule="auto"/>
        <w:jc w:val="both"/>
        <w:rPr>
          <w:sz w:val="24"/>
        </w:rPr>
      </w:pPr>
      <w:r>
        <w:rPr>
          <w:sz w:val="24"/>
        </w:rPr>
        <w:t>la Fédération Française des T</w:t>
      </w:r>
      <w:r w:rsidR="009C79EA" w:rsidRPr="007C7881">
        <w:rPr>
          <w:sz w:val="24"/>
        </w:rPr>
        <w:t>élécoms (</w:t>
      </w:r>
      <w:proofErr w:type="spellStart"/>
      <w:r w:rsidR="009C79EA" w:rsidRPr="007C7881">
        <w:rPr>
          <w:sz w:val="24"/>
        </w:rPr>
        <w:t>FFTélécoms</w:t>
      </w:r>
      <w:proofErr w:type="spellEnd"/>
      <w:r w:rsidR="009C79EA" w:rsidRPr="007C7881">
        <w:rPr>
          <w:sz w:val="24"/>
        </w:rPr>
        <w:t>)</w:t>
      </w:r>
      <w:r w:rsidR="009C79EA">
        <w:rPr>
          <w:sz w:val="24"/>
        </w:rPr>
        <w:t>,</w:t>
      </w:r>
    </w:p>
    <w:p w:rsidR="000942F9" w:rsidRDefault="000942F9" w:rsidP="000942F9">
      <w:pPr>
        <w:pStyle w:val="Paragraphedeliste"/>
        <w:numPr>
          <w:ilvl w:val="0"/>
          <w:numId w:val="2"/>
        </w:numPr>
        <w:spacing w:line="240" w:lineRule="auto"/>
        <w:jc w:val="both"/>
        <w:rPr>
          <w:sz w:val="24"/>
        </w:rPr>
      </w:pPr>
      <w:r w:rsidRPr="007C7881">
        <w:rPr>
          <w:sz w:val="24"/>
        </w:rPr>
        <w:t xml:space="preserve">la Fédération des </w:t>
      </w:r>
      <w:r w:rsidR="00900C50">
        <w:rPr>
          <w:sz w:val="24"/>
        </w:rPr>
        <w:t>Industries Electriques, Electroniques et de C</w:t>
      </w:r>
      <w:r w:rsidRPr="007C7881">
        <w:rPr>
          <w:sz w:val="24"/>
        </w:rPr>
        <w:t>ommunication (FIEEC),</w:t>
      </w:r>
    </w:p>
    <w:p w:rsidR="006E71DB" w:rsidRDefault="006E71DB" w:rsidP="000942F9">
      <w:pPr>
        <w:pStyle w:val="Paragraphedeliste"/>
        <w:numPr>
          <w:ilvl w:val="0"/>
          <w:numId w:val="2"/>
        </w:numPr>
        <w:spacing w:line="240" w:lineRule="auto"/>
        <w:jc w:val="both"/>
        <w:rPr>
          <w:sz w:val="24"/>
        </w:rPr>
      </w:pPr>
      <w:r w:rsidRPr="006E71DB">
        <w:rPr>
          <w:sz w:val="24"/>
        </w:rPr>
        <w:t>la Fédération des Industriels des Réseaux d’Initiative publique (FIRIP)</w:t>
      </w:r>
      <w:r>
        <w:rPr>
          <w:sz w:val="24"/>
        </w:rPr>
        <w:t>,</w:t>
      </w:r>
    </w:p>
    <w:p w:rsidR="000942F9" w:rsidRDefault="00900C50" w:rsidP="000942F9">
      <w:pPr>
        <w:pStyle w:val="Paragraphedeliste"/>
        <w:numPr>
          <w:ilvl w:val="0"/>
          <w:numId w:val="2"/>
        </w:numPr>
        <w:spacing w:line="240" w:lineRule="auto"/>
        <w:jc w:val="both"/>
        <w:rPr>
          <w:sz w:val="24"/>
        </w:rPr>
      </w:pPr>
      <w:r>
        <w:rPr>
          <w:sz w:val="24"/>
        </w:rPr>
        <w:t>et le Syndicat des Entreprises de Génie E</w:t>
      </w:r>
      <w:r w:rsidR="000942F9" w:rsidRPr="007C7881">
        <w:rPr>
          <w:sz w:val="24"/>
        </w:rPr>
        <w:t>l</w:t>
      </w:r>
      <w:r w:rsidR="000942F9">
        <w:rPr>
          <w:sz w:val="24"/>
        </w:rPr>
        <w:t>ectr</w:t>
      </w:r>
      <w:r>
        <w:rPr>
          <w:sz w:val="24"/>
        </w:rPr>
        <w:t>ique et C</w:t>
      </w:r>
      <w:r w:rsidR="000942F9">
        <w:rPr>
          <w:sz w:val="24"/>
        </w:rPr>
        <w:t>limatique (SERCE).</w:t>
      </w:r>
    </w:p>
    <w:p w:rsidR="000942F9" w:rsidRPr="00E152FE" w:rsidRDefault="000942F9" w:rsidP="000942F9">
      <w:pPr>
        <w:tabs>
          <w:tab w:val="left" w:pos="2325"/>
        </w:tabs>
        <w:rPr>
          <w:rFonts w:eastAsia="CenturyGothic" w:cs="CenturyGothic"/>
          <w:sz w:val="10"/>
          <w:szCs w:val="24"/>
        </w:rPr>
      </w:pPr>
    </w:p>
    <w:p w:rsidR="000942F9" w:rsidRPr="00597192" w:rsidRDefault="000942F9" w:rsidP="000942F9">
      <w:pPr>
        <w:tabs>
          <w:tab w:val="left" w:pos="2325"/>
        </w:tabs>
        <w:spacing w:after="120" w:line="240" w:lineRule="auto"/>
        <w:rPr>
          <w:rFonts w:eastAsia="CenturyGothic" w:cs="CenturyGothic"/>
          <w:sz w:val="20"/>
          <w:szCs w:val="20"/>
        </w:rPr>
      </w:pPr>
      <w:r w:rsidRPr="00597192">
        <w:rPr>
          <w:rFonts w:eastAsia="CenturyGothic" w:cs="CenturyGothic"/>
          <w:sz w:val="20"/>
          <w:szCs w:val="20"/>
        </w:rPr>
        <w:t>Contacts presse :</w:t>
      </w:r>
    </w:p>
    <w:p w:rsidR="000942F9" w:rsidRPr="00597192" w:rsidRDefault="000942F9" w:rsidP="000942F9">
      <w:pPr>
        <w:spacing w:after="120" w:line="240" w:lineRule="auto"/>
        <w:rPr>
          <w:sz w:val="20"/>
          <w:szCs w:val="20"/>
        </w:rPr>
      </w:pPr>
      <w:r w:rsidRPr="00597192">
        <w:rPr>
          <w:rFonts w:eastAsia="CenturyGothic" w:cs="CenturyGothic"/>
          <w:sz w:val="20"/>
          <w:szCs w:val="20"/>
        </w:rPr>
        <w:t>FFIE : Clotilde LEPAPE (</w:t>
      </w:r>
      <w:hyperlink r:id="rId11" w:history="1">
        <w:r w:rsidRPr="00597192">
          <w:rPr>
            <w:rStyle w:val="Lienhypertexte"/>
            <w:color w:val="0000FF"/>
            <w:sz w:val="20"/>
            <w:szCs w:val="20"/>
            <w:lang w:eastAsia="fr-FR"/>
          </w:rPr>
          <w:t>c.lepape@ffie.fr</w:t>
        </w:r>
      </w:hyperlink>
      <w:r w:rsidRPr="00597192">
        <w:rPr>
          <w:rFonts w:ascii="Tahoma" w:hAnsi="Tahoma" w:cs="Tahoma"/>
          <w:color w:val="1F497D"/>
          <w:sz w:val="20"/>
          <w:szCs w:val="20"/>
          <w:lang w:eastAsia="fr-FR"/>
        </w:rPr>
        <w:t xml:space="preserve">  / </w:t>
      </w:r>
      <w:r w:rsidRPr="00597192">
        <w:rPr>
          <w:sz w:val="20"/>
          <w:szCs w:val="20"/>
        </w:rPr>
        <w:t>01.44.05.84.13)</w:t>
      </w:r>
    </w:p>
    <w:p w:rsidR="000942F9" w:rsidRPr="00597192" w:rsidRDefault="000942F9" w:rsidP="000942F9">
      <w:pPr>
        <w:spacing w:after="120" w:line="240" w:lineRule="auto"/>
        <w:rPr>
          <w:sz w:val="20"/>
          <w:szCs w:val="20"/>
        </w:rPr>
      </w:pPr>
      <w:proofErr w:type="spellStart"/>
      <w:r w:rsidRPr="00597192">
        <w:rPr>
          <w:sz w:val="20"/>
          <w:szCs w:val="20"/>
        </w:rPr>
        <w:t>FFTélécoms</w:t>
      </w:r>
      <w:proofErr w:type="spellEnd"/>
      <w:r w:rsidRPr="00597192">
        <w:rPr>
          <w:sz w:val="20"/>
          <w:szCs w:val="20"/>
        </w:rPr>
        <w:t> : Stéphanie BRUN (</w:t>
      </w:r>
      <w:hyperlink r:id="rId12" w:history="1">
        <w:r w:rsidRPr="00597192">
          <w:rPr>
            <w:rStyle w:val="Lienhypertexte"/>
            <w:sz w:val="20"/>
            <w:szCs w:val="20"/>
          </w:rPr>
          <w:t>sbrun@fftelecoms.org</w:t>
        </w:r>
      </w:hyperlink>
      <w:r w:rsidRPr="00597192">
        <w:rPr>
          <w:sz w:val="20"/>
          <w:szCs w:val="20"/>
        </w:rPr>
        <w:t xml:space="preserve"> / </w:t>
      </w:r>
      <w:r>
        <w:rPr>
          <w:sz w:val="20"/>
          <w:szCs w:val="20"/>
        </w:rPr>
        <w:t>01.47.27.72.76)</w:t>
      </w:r>
    </w:p>
    <w:p w:rsidR="000942F9" w:rsidRPr="00597192" w:rsidRDefault="000942F9" w:rsidP="000942F9">
      <w:pPr>
        <w:spacing w:after="120" w:line="240" w:lineRule="auto"/>
        <w:rPr>
          <w:sz w:val="20"/>
          <w:szCs w:val="20"/>
          <w:lang w:val="en-US"/>
        </w:rPr>
      </w:pPr>
      <w:r>
        <w:rPr>
          <w:sz w:val="20"/>
          <w:szCs w:val="20"/>
          <w:lang w:val="en-US"/>
        </w:rPr>
        <w:t>F</w:t>
      </w:r>
      <w:r w:rsidRPr="00597192">
        <w:rPr>
          <w:sz w:val="20"/>
          <w:szCs w:val="20"/>
          <w:lang w:val="en-US"/>
        </w:rPr>
        <w:t>I</w:t>
      </w:r>
      <w:r>
        <w:rPr>
          <w:sz w:val="20"/>
          <w:szCs w:val="20"/>
          <w:lang w:val="en-US"/>
        </w:rPr>
        <w:t>E</w:t>
      </w:r>
      <w:r w:rsidRPr="00597192">
        <w:rPr>
          <w:sz w:val="20"/>
          <w:szCs w:val="20"/>
          <w:lang w:val="en-US"/>
        </w:rPr>
        <w:t>EC: Yoann KASSIANIDES (</w:t>
      </w:r>
      <w:hyperlink r:id="rId13" w:history="1">
        <w:r w:rsidRPr="00597192">
          <w:rPr>
            <w:rStyle w:val="Lienhypertexte"/>
            <w:sz w:val="20"/>
            <w:szCs w:val="20"/>
            <w:lang w:val="en-US"/>
          </w:rPr>
          <w:t>ykassianides@fieec.fr</w:t>
        </w:r>
      </w:hyperlink>
      <w:r w:rsidRPr="00597192">
        <w:rPr>
          <w:sz w:val="20"/>
          <w:szCs w:val="20"/>
          <w:lang w:val="en-US"/>
        </w:rPr>
        <w:t xml:space="preserve"> / 01.45.05.70.11)</w:t>
      </w:r>
    </w:p>
    <w:p w:rsidR="009C79EA" w:rsidRDefault="009C79EA" w:rsidP="000942F9">
      <w:pPr>
        <w:spacing w:after="120" w:line="240" w:lineRule="auto"/>
        <w:rPr>
          <w:sz w:val="20"/>
          <w:szCs w:val="20"/>
        </w:rPr>
      </w:pPr>
      <w:r>
        <w:rPr>
          <w:sz w:val="20"/>
          <w:szCs w:val="20"/>
        </w:rPr>
        <w:t>FIRIP: Sylvie LE ROUX (</w:t>
      </w:r>
      <w:hyperlink r:id="rId14" w:history="1">
        <w:r w:rsidRPr="008D1618">
          <w:rPr>
            <w:rStyle w:val="Lienhypertexte"/>
            <w:sz w:val="20"/>
            <w:szCs w:val="20"/>
          </w:rPr>
          <w:t>sylvie.leroux@pressentiel.fr</w:t>
        </w:r>
      </w:hyperlink>
      <w:r>
        <w:rPr>
          <w:sz w:val="20"/>
          <w:szCs w:val="20"/>
        </w:rPr>
        <w:t xml:space="preserve"> / 06.28.69.05.24)</w:t>
      </w:r>
    </w:p>
    <w:p w:rsidR="000942F9" w:rsidRPr="00597192" w:rsidRDefault="000942F9" w:rsidP="000942F9">
      <w:pPr>
        <w:spacing w:after="120" w:line="240" w:lineRule="auto"/>
        <w:rPr>
          <w:sz w:val="20"/>
          <w:szCs w:val="20"/>
        </w:rPr>
      </w:pPr>
      <w:r w:rsidRPr="00597192">
        <w:rPr>
          <w:sz w:val="20"/>
          <w:szCs w:val="20"/>
        </w:rPr>
        <w:t>SERCE: Marielle MOURGUES (</w:t>
      </w:r>
      <w:hyperlink r:id="rId15" w:history="1">
        <w:r w:rsidRPr="00597192">
          <w:rPr>
            <w:rStyle w:val="Lienhypertexte"/>
            <w:sz w:val="20"/>
            <w:szCs w:val="20"/>
          </w:rPr>
          <w:t>m.mourgues@serce.fr</w:t>
        </w:r>
      </w:hyperlink>
      <w:r>
        <w:rPr>
          <w:sz w:val="20"/>
          <w:szCs w:val="20"/>
        </w:rPr>
        <w:t xml:space="preserve"> / 01.47.20.39.45</w:t>
      </w:r>
      <w:r w:rsidRPr="00597192">
        <w:rPr>
          <w:sz w:val="20"/>
          <w:szCs w:val="20"/>
        </w:rPr>
        <w:t>)</w:t>
      </w:r>
    </w:p>
    <w:p w:rsidR="000942F9" w:rsidRPr="00597192" w:rsidRDefault="000942F9" w:rsidP="000942F9">
      <w:pPr>
        <w:tabs>
          <w:tab w:val="left" w:pos="2325"/>
        </w:tabs>
        <w:spacing w:after="120" w:line="240" w:lineRule="auto"/>
        <w:rPr>
          <w:rFonts w:eastAsia="CenturyGothic" w:cs="CenturyGothic"/>
          <w:sz w:val="20"/>
          <w:szCs w:val="24"/>
        </w:rPr>
      </w:pPr>
    </w:p>
    <w:sectPr w:rsidR="000942F9" w:rsidRPr="00597192" w:rsidSect="0059719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C1" w:rsidRDefault="005059C1" w:rsidP="00AF077F">
      <w:pPr>
        <w:spacing w:after="0" w:line="240" w:lineRule="auto"/>
      </w:pPr>
      <w:r>
        <w:separator/>
      </w:r>
    </w:p>
  </w:endnote>
  <w:endnote w:type="continuationSeparator" w:id="0">
    <w:p w:rsidR="005059C1" w:rsidRDefault="005059C1" w:rsidP="00AF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Gothic">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C6" w:rsidRDefault="005059C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C6" w:rsidRDefault="005059C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C6" w:rsidRDefault="005059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C1" w:rsidRDefault="005059C1" w:rsidP="00AF077F">
      <w:pPr>
        <w:spacing w:after="0" w:line="240" w:lineRule="auto"/>
      </w:pPr>
      <w:r>
        <w:separator/>
      </w:r>
    </w:p>
  </w:footnote>
  <w:footnote w:type="continuationSeparator" w:id="0">
    <w:p w:rsidR="005059C1" w:rsidRDefault="005059C1" w:rsidP="00AF0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C6" w:rsidRDefault="005059C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C6" w:rsidRDefault="005059C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C6" w:rsidRDefault="005059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12C9"/>
    <w:multiLevelType w:val="hybridMultilevel"/>
    <w:tmpl w:val="A9D85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907279"/>
    <w:multiLevelType w:val="hybridMultilevel"/>
    <w:tmpl w:val="0A7EECA8"/>
    <w:lvl w:ilvl="0" w:tplc="C27EDEE8">
      <w:numFmt w:val="bullet"/>
      <w:lvlText w:val="•"/>
      <w:lvlJc w:val="left"/>
      <w:pPr>
        <w:ind w:left="720" w:hanging="360"/>
      </w:pPr>
      <w:rPr>
        <w:rFonts w:ascii="Calibri" w:eastAsia="CenturyGothic" w:hAnsi="Calibri"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CF321C"/>
    <w:multiLevelType w:val="hybridMultilevel"/>
    <w:tmpl w:val="2842CE38"/>
    <w:lvl w:ilvl="0" w:tplc="CCFA241A">
      <w:start w:val="1"/>
      <w:numFmt w:val="bullet"/>
      <w:lvlText w:val=""/>
      <w:lvlJc w:val="left"/>
      <w:pPr>
        <w:ind w:left="720" w:hanging="360"/>
      </w:pPr>
      <w:rPr>
        <w:rFonts w:ascii="Symbol" w:hAnsi="Symbol" w:hint="default"/>
        <w:spacing w:val="-1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4321C2"/>
    <w:multiLevelType w:val="hybridMultilevel"/>
    <w:tmpl w:val="9562703A"/>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F9"/>
    <w:rsid w:val="000942F9"/>
    <w:rsid w:val="000A4F84"/>
    <w:rsid w:val="002525C9"/>
    <w:rsid w:val="00264646"/>
    <w:rsid w:val="002C0CA0"/>
    <w:rsid w:val="002E7780"/>
    <w:rsid w:val="003918EE"/>
    <w:rsid w:val="003B2141"/>
    <w:rsid w:val="005059C1"/>
    <w:rsid w:val="006A5B6C"/>
    <w:rsid w:val="006E71DB"/>
    <w:rsid w:val="00900C50"/>
    <w:rsid w:val="009C79EA"/>
    <w:rsid w:val="00AF077F"/>
    <w:rsid w:val="00D35041"/>
    <w:rsid w:val="00D53340"/>
    <w:rsid w:val="00DF1E8C"/>
    <w:rsid w:val="00E152FE"/>
    <w:rsid w:val="00FB7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2F9"/>
    <w:pPr>
      <w:ind w:left="720"/>
      <w:contextualSpacing/>
    </w:pPr>
  </w:style>
  <w:style w:type="paragraph" w:styleId="En-tte">
    <w:name w:val="header"/>
    <w:basedOn w:val="Normal"/>
    <w:link w:val="En-tteCar"/>
    <w:uiPriority w:val="99"/>
    <w:unhideWhenUsed/>
    <w:rsid w:val="000942F9"/>
    <w:pPr>
      <w:tabs>
        <w:tab w:val="center" w:pos="4536"/>
        <w:tab w:val="right" w:pos="9072"/>
      </w:tabs>
      <w:spacing w:after="0" w:line="240" w:lineRule="auto"/>
    </w:pPr>
  </w:style>
  <w:style w:type="character" w:customStyle="1" w:styleId="En-tteCar">
    <w:name w:val="En-tête Car"/>
    <w:basedOn w:val="Policepardfaut"/>
    <w:link w:val="En-tte"/>
    <w:uiPriority w:val="99"/>
    <w:rsid w:val="000942F9"/>
  </w:style>
  <w:style w:type="paragraph" w:styleId="Pieddepage">
    <w:name w:val="footer"/>
    <w:basedOn w:val="Normal"/>
    <w:link w:val="PieddepageCar"/>
    <w:uiPriority w:val="99"/>
    <w:unhideWhenUsed/>
    <w:rsid w:val="000942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2F9"/>
  </w:style>
  <w:style w:type="character" w:styleId="Lienhypertexte">
    <w:name w:val="Hyperlink"/>
    <w:basedOn w:val="Policepardfaut"/>
    <w:uiPriority w:val="99"/>
    <w:unhideWhenUsed/>
    <w:rsid w:val="000942F9"/>
    <w:rPr>
      <w:color w:val="0000FF" w:themeColor="hyperlink"/>
      <w:u w:val="single"/>
    </w:rPr>
  </w:style>
  <w:style w:type="paragraph" w:styleId="Textedebulles">
    <w:name w:val="Balloon Text"/>
    <w:basedOn w:val="Normal"/>
    <w:link w:val="TextedebullesCar"/>
    <w:uiPriority w:val="99"/>
    <w:semiHidden/>
    <w:unhideWhenUsed/>
    <w:rsid w:val="000942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2F9"/>
    <w:rPr>
      <w:rFonts w:ascii="Tahoma" w:hAnsi="Tahoma" w:cs="Tahoma"/>
      <w:sz w:val="16"/>
      <w:szCs w:val="16"/>
    </w:rPr>
  </w:style>
  <w:style w:type="character" w:styleId="Marquedecommentaire">
    <w:name w:val="annotation reference"/>
    <w:basedOn w:val="Policepardfaut"/>
    <w:uiPriority w:val="99"/>
    <w:semiHidden/>
    <w:unhideWhenUsed/>
    <w:rsid w:val="006A5B6C"/>
    <w:rPr>
      <w:sz w:val="16"/>
      <w:szCs w:val="16"/>
    </w:rPr>
  </w:style>
  <w:style w:type="paragraph" w:styleId="Commentaire">
    <w:name w:val="annotation text"/>
    <w:basedOn w:val="Normal"/>
    <w:link w:val="CommentaireCar"/>
    <w:uiPriority w:val="99"/>
    <w:semiHidden/>
    <w:unhideWhenUsed/>
    <w:rsid w:val="006A5B6C"/>
    <w:pPr>
      <w:spacing w:line="240" w:lineRule="auto"/>
    </w:pPr>
    <w:rPr>
      <w:sz w:val="20"/>
      <w:szCs w:val="20"/>
    </w:rPr>
  </w:style>
  <w:style w:type="character" w:customStyle="1" w:styleId="CommentaireCar">
    <w:name w:val="Commentaire Car"/>
    <w:basedOn w:val="Policepardfaut"/>
    <w:link w:val="Commentaire"/>
    <w:uiPriority w:val="99"/>
    <w:semiHidden/>
    <w:rsid w:val="006A5B6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2F9"/>
    <w:pPr>
      <w:ind w:left="720"/>
      <w:contextualSpacing/>
    </w:pPr>
  </w:style>
  <w:style w:type="paragraph" w:styleId="En-tte">
    <w:name w:val="header"/>
    <w:basedOn w:val="Normal"/>
    <w:link w:val="En-tteCar"/>
    <w:uiPriority w:val="99"/>
    <w:unhideWhenUsed/>
    <w:rsid w:val="000942F9"/>
    <w:pPr>
      <w:tabs>
        <w:tab w:val="center" w:pos="4536"/>
        <w:tab w:val="right" w:pos="9072"/>
      </w:tabs>
      <w:spacing w:after="0" w:line="240" w:lineRule="auto"/>
    </w:pPr>
  </w:style>
  <w:style w:type="character" w:customStyle="1" w:styleId="En-tteCar">
    <w:name w:val="En-tête Car"/>
    <w:basedOn w:val="Policepardfaut"/>
    <w:link w:val="En-tte"/>
    <w:uiPriority w:val="99"/>
    <w:rsid w:val="000942F9"/>
  </w:style>
  <w:style w:type="paragraph" w:styleId="Pieddepage">
    <w:name w:val="footer"/>
    <w:basedOn w:val="Normal"/>
    <w:link w:val="PieddepageCar"/>
    <w:uiPriority w:val="99"/>
    <w:unhideWhenUsed/>
    <w:rsid w:val="000942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2F9"/>
  </w:style>
  <w:style w:type="character" w:styleId="Lienhypertexte">
    <w:name w:val="Hyperlink"/>
    <w:basedOn w:val="Policepardfaut"/>
    <w:uiPriority w:val="99"/>
    <w:unhideWhenUsed/>
    <w:rsid w:val="000942F9"/>
    <w:rPr>
      <w:color w:val="0000FF" w:themeColor="hyperlink"/>
      <w:u w:val="single"/>
    </w:rPr>
  </w:style>
  <w:style w:type="paragraph" w:styleId="Textedebulles">
    <w:name w:val="Balloon Text"/>
    <w:basedOn w:val="Normal"/>
    <w:link w:val="TextedebullesCar"/>
    <w:uiPriority w:val="99"/>
    <w:semiHidden/>
    <w:unhideWhenUsed/>
    <w:rsid w:val="000942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2F9"/>
    <w:rPr>
      <w:rFonts w:ascii="Tahoma" w:hAnsi="Tahoma" w:cs="Tahoma"/>
      <w:sz w:val="16"/>
      <w:szCs w:val="16"/>
    </w:rPr>
  </w:style>
  <w:style w:type="character" w:styleId="Marquedecommentaire">
    <w:name w:val="annotation reference"/>
    <w:basedOn w:val="Policepardfaut"/>
    <w:uiPriority w:val="99"/>
    <w:semiHidden/>
    <w:unhideWhenUsed/>
    <w:rsid w:val="006A5B6C"/>
    <w:rPr>
      <w:sz w:val="16"/>
      <w:szCs w:val="16"/>
    </w:rPr>
  </w:style>
  <w:style w:type="paragraph" w:styleId="Commentaire">
    <w:name w:val="annotation text"/>
    <w:basedOn w:val="Normal"/>
    <w:link w:val="CommentaireCar"/>
    <w:uiPriority w:val="99"/>
    <w:semiHidden/>
    <w:unhideWhenUsed/>
    <w:rsid w:val="006A5B6C"/>
    <w:pPr>
      <w:spacing w:line="240" w:lineRule="auto"/>
    </w:pPr>
    <w:rPr>
      <w:sz w:val="20"/>
      <w:szCs w:val="20"/>
    </w:rPr>
  </w:style>
  <w:style w:type="character" w:customStyle="1" w:styleId="CommentaireCar">
    <w:name w:val="Commentaire Car"/>
    <w:basedOn w:val="Policepardfaut"/>
    <w:link w:val="Commentaire"/>
    <w:uiPriority w:val="99"/>
    <w:semiHidden/>
    <w:rsid w:val="006A5B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kassianides@fieec.f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brun@fftelecoms.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epape@ffie.fr" TargetMode="External"/><Relationship Id="rId5" Type="http://schemas.openxmlformats.org/officeDocument/2006/relationships/webSettings" Target="webSettings.xml"/><Relationship Id="rId15" Type="http://schemas.openxmlformats.org/officeDocument/2006/relationships/hyperlink" Target="mailto:m.mourgues@serce.fr" TargetMode="External"/><Relationship Id="rId23" Type="http://schemas.openxmlformats.org/officeDocument/2006/relationships/theme" Target="theme/theme1.xml"/><Relationship Id="rId10" Type="http://schemas.openxmlformats.org/officeDocument/2006/relationships/hyperlink" Target="http://www.objectif-fibr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sylvie.leroux@pressentiel.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3709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Guillaume</dc:creator>
  <cp:lastModifiedBy>ADAM Guillaume</cp:lastModifiedBy>
  <cp:revision>4</cp:revision>
  <cp:lastPrinted>2017-12-04T16:15:00Z</cp:lastPrinted>
  <dcterms:created xsi:type="dcterms:W3CDTF">2017-12-04T16:15:00Z</dcterms:created>
  <dcterms:modified xsi:type="dcterms:W3CDTF">2017-12-04T16:15:00Z</dcterms:modified>
</cp:coreProperties>
</file>