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D4" w:rsidRDefault="000D08D4" w:rsidP="000D08D4">
      <w:pPr>
        <w:rPr>
          <w:b/>
          <w:sz w:val="24"/>
          <w:lang w:eastAsia="fr-FR"/>
        </w:rPr>
      </w:pPr>
      <w:r w:rsidRPr="009E79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ABF93E" wp14:editId="5D857C83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1319832" cy="552450"/>
            <wp:effectExtent l="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832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8D4" w:rsidRDefault="000D08D4" w:rsidP="000D08D4">
      <w:pPr>
        <w:rPr>
          <w:b/>
          <w:sz w:val="24"/>
          <w:lang w:eastAsia="fr-FR"/>
        </w:rPr>
      </w:pPr>
    </w:p>
    <w:p w:rsidR="000D08D4" w:rsidRDefault="000D08D4" w:rsidP="000D08D4">
      <w:pPr>
        <w:rPr>
          <w:b/>
          <w:sz w:val="24"/>
          <w:lang w:eastAsia="fr-FR"/>
        </w:rPr>
      </w:pPr>
    </w:p>
    <w:p w:rsidR="000D08D4" w:rsidRDefault="000D08D4" w:rsidP="000D08D4">
      <w:pPr>
        <w:jc w:val="center"/>
        <w:rPr>
          <w:b/>
          <w:sz w:val="28"/>
          <w:lang w:eastAsia="fr-FR"/>
        </w:rPr>
      </w:pPr>
      <w:r w:rsidRPr="000D08D4">
        <w:rPr>
          <w:b/>
          <w:sz w:val="28"/>
          <w:lang w:eastAsia="fr-FR"/>
        </w:rPr>
        <w:t>Synthèse</w:t>
      </w:r>
      <w:r w:rsidRPr="000D08D4">
        <w:rPr>
          <w:b/>
          <w:sz w:val="28"/>
          <w:lang w:eastAsia="fr-FR"/>
        </w:rPr>
        <w:t> du bilan de la charte accessibilité pour l’année 2015</w:t>
      </w:r>
      <w:r w:rsidRPr="000D08D4">
        <w:rPr>
          <w:b/>
          <w:sz w:val="28"/>
          <w:lang w:eastAsia="fr-FR"/>
        </w:rPr>
        <w:t xml:space="preserve"> </w:t>
      </w:r>
    </w:p>
    <w:p w:rsidR="000D08D4" w:rsidRPr="000D08D4" w:rsidRDefault="000D08D4" w:rsidP="000D08D4">
      <w:pPr>
        <w:jc w:val="center"/>
        <w:rPr>
          <w:b/>
          <w:sz w:val="28"/>
          <w:lang w:eastAsia="fr-FR"/>
        </w:rPr>
      </w:pPr>
      <w:bookmarkStart w:id="0" w:name="_GoBack"/>
      <w:bookmarkEnd w:id="0"/>
    </w:p>
    <w:p w:rsidR="000D08D4" w:rsidRDefault="000D08D4" w:rsidP="000D08D4">
      <w:pPr>
        <w:pStyle w:val="Paragraphedeliste"/>
        <w:numPr>
          <w:ilvl w:val="0"/>
          <w:numId w:val="1"/>
        </w:numPr>
        <w:rPr>
          <w:b/>
          <w:lang w:eastAsia="fr-FR"/>
        </w:rPr>
      </w:pPr>
      <w:r>
        <w:rPr>
          <w:b/>
          <w:lang w:eastAsia="fr-FR"/>
        </w:rPr>
        <w:t xml:space="preserve">Les opérateurs poursuivent leur démarche d’accessibilité </w:t>
      </w:r>
    </w:p>
    <w:p w:rsidR="000D08D4" w:rsidRDefault="000D08D4" w:rsidP="000D08D4">
      <w:pPr>
        <w:pStyle w:val="Paragraphedeliste"/>
        <w:ind w:left="1065"/>
        <w:rPr>
          <w:b/>
          <w:lang w:eastAsia="fr-FR"/>
        </w:rPr>
      </w:pPr>
    </w:p>
    <w:p w:rsidR="000D08D4" w:rsidRPr="008F05B6" w:rsidRDefault="000D08D4" w:rsidP="000D08D4">
      <w:pPr>
        <w:pStyle w:val="Paragraphedeliste"/>
        <w:numPr>
          <w:ilvl w:val="1"/>
          <w:numId w:val="1"/>
        </w:numPr>
        <w:rPr>
          <w:lang w:eastAsia="fr-FR"/>
        </w:rPr>
      </w:pPr>
      <w:r w:rsidRPr="008F05B6">
        <w:rPr>
          <w:lang w:eastAsia="fr-FR"/>
        </w:rPr>
        <w:t>4</w:t>
      </w:r>
      <w:r w:rsidRPr="008F05B6">
        <w:rPr>
          <w:vertAlign w:val="superscript"/>
          <w:lang w:eastAsia="fr-FR"/>
        </w:rPr>
        <w:t>e</w:t>
      </w:r>
      <w:r w:rsidRPr="008F05B6">
        <w:rPr>
          <w:lang w:eastAsia="fr-FR"/>
        </w:rPr>
        <w:t xml:space="preserve"> Bilan de la Charte d’engagements volontaires</w:t>
      </w:r>
    </w:p>
    <w:p w:rsidR="000D08D4" w:rsidRPr="008F05B6" w:rsidRDefault="000D08D4" w:rsidP="000D08D4">
      <w:pPr>
        <w:pStyle w:val="Paragraphedeliste"/>
        <w:numPr>
          <w:ilvl w:val="1"/>
          <w:numId w:val="1"/>
        </w:numPr>
        <w:rPr>
          <w:lang w:eastAsia="fr-FR"/>
        </w:rPr>
      </w:pPr>
      <w:r>
        <w:rPr>
          <w:b/>
          <w:lang w:eastAsia="fr-FR"/>
        </w:rPr>
        <w:t xml:space="preserve">Près de 4.000 </w:t>
      </w:r>
      <w:r w:rsidRPr="008F05B6">
        <w:rPr>
          <w:b/>
          <w:lang w:eastAsia="fr-FR"/>
        </w:rPr>
        <w:t>h de communication</w:t>
      </w:r>
      <w:r w:rsidRPr="008F05B6">
        <w:rPr>
          <w:lang w:eastAsia="fr-FR"/>
        </w:rPr>
        <w:t xml:space="preserve"> cumulée enregistrée en </w:t>
      </w:r>
      <w:r w:rsidRPr="008F05B6">
        <w:rPr>
          <w:b/>
          <w:lang w:eastAsia="fr-FR"/>
        </w:rPr>
        <w:t>LSF/LPC/Texte en relation client</w:t>
      </w:r>
      <w:r w:rsidRPr="008F05B6">
        <w:rPr>
          <w:lang w:eastAsia="fr-FR"/>
        </w:rPr>
        <w:t xml:space="preserve"> à destination des personnes sourdes et malentendantes (+89% vs 2013)</w:t>
      </w:r>
    </w:p>
    <w:p w:rsidR="000D08D4" w:rsidRPr="008F05B6" w:rsidRDefault="000D08D4" w:rsidP="000D08D4">
      <w:pPr>
        <w:pStyle w:val="Paragraphedeliste"/>
        <w:numPr>
          <w:ilvl w:val="1"/>
          <w:numId w:val="1"/>
        </w:numPr>
        <w:rPr>
          <w:lang w:eastAsia="fr-FR"/>
        </w:rPr>
      </w:pPr>
      <w:r>
        <w:rPr>
          <w:b/>
          <w:lang w:eastAsia="fr-FR"/>
        </w:rPr>
        <w:t>Plus de 115.000</w:t>
      </w:r>
      <w:r w:rsidRPr="008F05B6">
        <w:rPr>
          <w:b/>
          <w:lang w:eastAsia="fr-FR"/>
        </w:rPr>
        <w:t xml:space="preserve"> supports de communication édités en version papier accessible</w:t>
      </w:r>
      <w:r w:rsidRPr="008F05B6">
        <w:rPr>
          <w:lang w:eastAsia="fr-FR"/>
        </w:rPr>
        <w:t xml:space="preserve"> (+65%)</w:t>
      </w:r>
    </w:p>
    <w:p w:rsidR="000D08D4" w:rsidRPr="008F05B6" w:rsidRDefault="000D08D4" w:rsidP="000D08D4">
      <w:pPr>
        <w:pStyle w:val="Paragraphedeliste"/>
        <w:numPr>
          <w:ilvl w:val="1"/>
          <w:numId w:val="1"/>
        </w:numPr>
        <w:rPr>
          <w:lang w:eastAsia="fr-FR"/>
        </w:rPr>
      </w:pPr>
      <w:r>
        <w:rPr>
          <w:b/>
          <w:lang w:eastAsia="fr-FR"/>
        </w:rPr>
        <w:t>7.4</w:t>
      </w:r>
      <w:r w:rsidRPr="008F05B6">
        <w:rPr>
          <w:b/>
          <w:lang w:eastAsia="fr-FR"/>
        </w:rPr>
        <w:t>00 collaborateurs issus des forces de vente formés</w:t>
      </w:r>
      <w:r w:rsidRPr="008F05B6">
        <w:rPr>
          <w:lang w:eastAsia="fr-FR"/>
        </w:rPr>
        <w:t xml:space="preserve"> (+3%)</w:t>
      </w:r>
    </w:p>
    <w:p w:rsidR="000D08D4" w:rsidRDefault="000D08D4" w:rsidP="000D08D4">
      <w:pPr>
        <w:pStyle w:val="Paragraphedeliste"/>
        <w:numPr>
          <w:ilvl w:val="1"/>
          <w:numId w:val="1"/>
        </w:numPr>
        <w:rPr>
          <w:lang w:eastAsia="fr-FR"/>
        </w:rPr>
      </w:pPr>
      <w:r w:rsidRPr="008F05B6">
        <w:rPr>
          <w:b/>
          <w:lang w:eastAsia="fr-FR"/>
        </w:rPr>
        <w:t>Poursuite du dialogue</w:t>
      </w:r>
      <w:r w:rsidRPr="008F05B6">
        <w:rPr>
          <w:lang w:eastAsia="fr-FR"/>
        </w:rPr>
        <w:t xml:space="preserve"> entre la Fédération, les associations représentatives et les pouvoirs publics : évènement dédié et appel à projets, publication du Bilan annuel sur le site de la Fédération et poursuite de la réflexion sur la pertinence et l’adaptation de certains indicateurs (ex. taux de pages web accessibles)</w:t>
      </w:r>
    </w:p>
    <w:p w:rsidR="000D08D4" w:rsidRPr="008F05B6" w:rsidRDefault="000D08D4" w:rsidP="000D08D4">
      <w:pPr>
        <w:pStyle w:val="Paragraphedeliste"/>
        <w:ind w:left="1785"/>
        <w:rPr>
          <w:lang w:eastAsia="fr-FR"/>
        </w:rPr>
      </w:pPr>
    </w:p>
    <w:p w:rsidR="000D08D4" w:rsidRDefault="000D08D4" w:rsidP="000D08D4">
      <w:pPr>
        <w:pStyle w:val="Paragraphedeliste"/>
        <w:numPr>
          <w:ilvl w:val="0"/>
          <w:numId w:val="1"/>
        </w:numPr>
        <w:rPr>
          <w:b/>
          <w:lang w:eastAsia="fr-FR"/>
        </w:rPr>
      </w:pPr>
      <w:r>
        <w:rPr>
          <w:b/>
          <w:lang w:eastAsia="fr-FR"/>
        </w:rPr>
        <w:t>L’offre adaptée aux différents types de handicap est toujours riche et constitue désormais un facteur de différenciation entre opérateurs</w:t>
      </w:r>
    </w:p>
    <w:p w:rsidR="000D08D4" w:rsidRDefault="000D08D4" w:rsidP="000D08D4">
      <w:pPr>
        <w:pStyle w:val="Paragraphedeliste"/>
        <w:ind w:left="1065"/>
        <w:rPr>
          <w:b/>
          <w:lang w:eastAsia="fr-FR"/>
        </w:rPr>
      </w:pPr>
    </w:p>
    <w:p w:rsidR="000D08D4" w:rsidRDefault="000D08D4" w:rsidP="000D08D4">
      <w:pPr>
        <w:pStyle w:val="Paragraphedeliste"/>
        <w:numPr>
          <w:ilvl w:val="1"/>
          <w:numId w:val="1"/>
        </w:numPr>
        <w:rPr>
          <w:b/>
          <w:lang w:eastAsia="fr-FR"/>
        </w:rPr>
      </w:pPr>
      <w:r>
        <w:rPr>
          <w:b/>
          <w:lang w:eastAsia="fr-FR"/>
        </w:rPr>
        <w:t xml:space="preserve">29 terminaux mobiles adaptés labellisés </w:t>
      </w:r>
      <w:r w:rsidRPr="008F05B6">
        <w:rPr>
          <w:lang w:eastAsia="fr-FR"/>
        </w:rPr>
        <w:t>par les opérateurs de la Fédération</w:t>
      </w:r>
    </w:p>
    <w:p w:rsidR="000D08D4" w:rsidRDefault="000D08D4" w:rsidP="000D08D4">
      <w:pPr>
        <w:pStyle w:val="Paragraphedeliste"/>
        <w:numPr>
          <w:ilvl w:val="1"/>
          <w:numId w:val="1"/>
        </w:numPr>
        <w:rPr>
          <w:b/>
          <w:lang w:eastAsia="fr-FR"/>
        </w:rPr>
      </w:pPr>
      <w:r>
        <w:rPr>
          <w:b/>
          <w:lang w:eastAsia="fr-FR"/>
        </w:rPr>
        <w:t xml:space="preserve">1100 téléphones mobiles adaptés </w:t>
      </w:r>
      <w:r w:rsidRPr="008F05B6">
        <w:rPr>
          <w:lang w:eastAsia="fr-FR"/>
        </w:rPr>
        <w:t>recensés sur la base GARI depuis 2008, dont 400 pour l’Europe</w:t>
      </w:r>
    </w:p>
    <w:p w:rsidR="000D08D4" w:rsidRDefault="000D08D4" w:rsidP="000D08D4">
      <w:pPr>
        <w:pStyle w:val="Paragraphedeliste"/>
        <w:numPr>
          <w:ilvl w:val="1"/>
          <w:numId w:val="1"/>
        </w:numPr>
        <w:rPr>
          <w:b/>
          <w:lang w:eastAsia="fr-FR"/>
        </w:rPr>
      </w:pPr>
      <w:r>
        <w:rPr>
          <w:b/>
          <w:lang w:eastAsia="fr-FR"/>
        </w:rPr>
        <w:t xml:space="preserve">Les opérateurs adoptent des stratégies partenariales </w:t>
      </w:r>
      <w:r w:rsidRPr="008F05B6">
        <w:rPr>
          <w:lang w:eastAsia="fr-FR"/>
        </w:rPr>
        <w:t>plus ou moins intégrées avec les développeurs (37 services mobiles ou applications labellisés opérateurs contre 60 en 2013) selon leur positionnement</w:t>
      </w:r>
    </w:p>
    <w:p w:rsidR="000D08D4" w:rsidRPr="000D08D4" w:rsidRDefault="000D08D4" w:rsidP="000D08D4">
      <w:pPr>
        <w:pStyle w:val="Paragraphedeliste"/>
        <w:numPr>
          <w:ilvl w:val="1"/>
          <w:numId w:val="1"/>
        </w:numPr>
        <w:rPr>
          <w:b/>
          <w:lang w:eastAsia="fr-FR"/>
        </w:rPr>
      </w:pPr>
      <w:r>
        <w:rPr>
          <w:b/>
          <w:lang w:eastAsia="fr-FR"/>
        </w:rPr>
        <w:t xml:space="preserve">L’offre alternative </w:t>
      </w:r>
      <w:r w:rsidRPr="008F05B6">
        <w:rPr>
          <w:lang w:eastAsia="fr-FR"/>
        </w:rPr>
        <w:t>issue des développeurs d’OS et d’applications est</w:t>
      </w:r>
      <w:r>
        <w:rPr>
          <w:b/>
          <w:lang w:eastAsia="fr-FR"/>
        </w:rPr>
        <w:t xml:space="preserve"> de plus en plus importante et performante </w:t>
      </w:r>
      <w:r w:rsidRPr="008F05B6">
        <w:rPr>
          <w:lang w:eastAsia="fr-FR"/>
        </w:rPr>
        <w:t>et constitue désormais</w:t>
      </w:r>
      <w:r>
        <w:rPr>
          <w:b/>
          <w:lang w:eastAsia="fr-FR"/>
        </w:rPr>
        <w:t xml:space="preserve"> un relais </w:t>
      </w:r>
      <w:r w:rsidRPr="008F05B6">
        <w:rPr>
          <w:lang w:eastAsia="fr-FR"/>
        </w:rPr>
        <w:t>à l’offre des opérateurs</w:t>
      </w:r>
    </w:p>
    <w:p w:rsidR="000D08D4" w:rsidRDefault="000D08D4" w:rsidP="000D08D4">
      <w:pPr>
        <w:pStyle w:val="Paragraphedeliste"/>
        <w:ind w:left="1785"/>
        <w:rPr>
          <w:b/>
          <w:lang w:eastAsia="fr-FR"/>
        </w:rPr>
      </w:pPr>
    </w:p>
    <w:p w:rsidR="000D08D4" w:rsidRDefault="000D08D4" w:rsidP="000D08D4">
      <w:pPr>
        <w:pStyle w:val="Paragraphedeliste"/>
        <w:numPr>
          <w:ilvl w:val="0"/>
          <w:numId w:val="1"/>
        </w:numPr>
        <w:rPr>
          <w:b/>
          <w:lang w:eastAsia="fr-FR"/>
        </w:rPr>
      </w:pPr>
      <w:r>
        <w:rPr>
          <w:b/>
          <w:lang w:eastAsia="fr-FR"/>
        </w:rPr>
        <w:t>L’offre adaptée évolue avec le marché, les besoins des utilisateurs et la stratégie globale des opérateurs</w:t>
      </w:r>
    </w:p>
    <w:p w:rsidR="000D08D4" w:rsidRPr="008F05B6" w:rsidRDefault="000D08D4" w:rsidP="000D08D4">
      <w:pPr>
        <w:pStyle w:val="Paragraphedeliste"/>
        <w:numPr>
          <w:ilvl w:val="1"/>
          <w:numId w:val="1"/>
        </w:numPr>
        <w:rPr>
          <w:lang w:eastAsia="fr-FR"/>
        </w:rPr>
      </w:pPr>
      <w:r w:rsidRPr="008F05B6">
        <w:rPr>
          <w:lang w:eastAsia="fr-FR"/>
        </w:rPr>
        <w:t xml:space="preserve">La </w:t>
      </w:r>
      <w:r w:rsidRPr="008F05B6">
        <w:rPr>
          <w:b/>
          <w:lang w:eastAsia="fr-FR"/>
        </w:rPr>
        <w:t>dynamique d’innovation</w:t>
      </w:r>
      <w:r w:rsidRPr="008F05B6">
        <w:rPr>
          <w:lang w:eastAsia="fr-FR"/>
        </w:rPr>
        <w:t xml:space="preserve"> en cours dans l’écosystème numérique permet d’apporter une réponse à un nombre croissant de besoins et de recentrer les efforts des opérateurs sur d’autres priorités : </w:t>
      </w:r>
      <w:r w:rsidRPr="008F05B6">
        <w:rPr>
          <w:b/>
          <w:lang w:eastAsia="fr-FR"/>
        </w:rPr>
        <w:t>277 installations gratuites de logiciels dédiés au handicap visuel</w:t>
      </w:r>
      <w:r w:rsidRPr="008F05B6">
        <w:rPr>
          <w:lang w:eastAsia="fr-FR"/>
        </w:rPr>
        <w:t xml:space="preserve"> par les opérateurs et leurs partenaires en 2015 contre 1210 en 2013 mais </w:t>
      </w:r>
      <w:r w:rsidRPr="008F05B6">
        <w:rPr>
          <w:b/>
          <w:lang w:eastAsia="fr-FR"/>
        </w:rPr>
        <w:t xml:space="preserve">essor des télécommandes ou applications smartphones permettant le contrôle des interfaces TV </w:t>
      </w:r>
      <w:r>
        <w:rPr>
          <w:b/>
          <w:lang w:eastAsia="fr-FR"/>
        </w:rPr>
        <w:t>par</w:t>
      </w:r>
      <w:r w:rsidRPr="008F05B6">
        <w:rPr>
          <w:b/>
          <w:lang w:eastAsia="fr-FR"/>
        </w:rPr>
        <w:t xml:space="preserve"> la voix</w:t>
      </w:r>
    </w:p>
    <w:p w:rsidR="000D08D4" w:rsidRPr="008F05B6" w:rsidRDefault="000D08D4" w:rsidP="000D08D4">
      <w:pPr>
        <w:pStyle w:val="Paragraphedeliste"/>
        <w:numPr>
          <w:ilvl w:val="1"/>
          <w:numId w:val="1"/>
        </w:numPr>
        <w:rPr>
          <w:lang w:eastAsia="fr-FR"/>
        </w:rPr>
      </w:pPr>
      <w:r w:rsidRPr="008F05B6">
        <w:rPr>
          <w:lang w:eastAsia="fr-FR"/>
        </w:rPr>
        <w:t xml:space="preserve">La rationalisation des réseaux de vente propriétaires se traduit par une réduction du nombre de points de vente adaptés en valeur absolue mais une </w:t>
      </w:r>
      <w:r w:rsidRPr="008F05B6">
        <w:rPr>
          <w:b/>
          <w:lang w:eastAsia="fr-FR"/>
        </w:rPr>
        <w:t>augmentation de leur poids global</w:t>
      </w:r>
    </w:p>
    <w:p w:rsidR="000D08D4" w:rsidRPr="007D3C6D" w:rsidRDefault="000D08D4" w:rsidP="000D08D4">
      <w:pPr>
        <w:pStyle w:val="Paragraphedeliste"/>
        <w:numPr>
          <w:ilvl w:val="1"/>
          <w:numId w:val="1"/>
        </w:numPr>
        <w:rPr>
          <w:b/>
          <w:lang w:eastAsia="fr-FR"/>
        </w:rPr>
      </w:pPr>
      <w:r w:rsidRPr="008F05B6">
        <w:rPr>
          <w:lang w:eastAsia="fr-FR"/>
        </w:rPr>
        <w:t xml:space="preserve">La diminution du nombre de factures papier adaptées (12.917 envoyées en 2015 contre 14.288 en 2013) constitue surtout un </w:t>
      </w:r>
      <w:r w:rsidRPr="008F05B6">
        <w:rPr>
          <w:b/>
          <w:lang w:eastAsia="fr-FR"/>
        </w:rPr>
        <w:t>marqueur de la stratégie globale de dématérialisation</w:t>
      </w:r>
      <w:r w:rsidRPr="008F05B6">
        <w:rPr>
          <w:lang w:eastAsia="fr-FR"/>
        </w:rPr>
        <w:t xml:space="preserve"> des opérateurs et reflète la baisse globale du nombre de factures papier</w:t>
      </w:r>
    </w:p>
    <w:p w:rsidR="00C558A5" w:rsidRDefault="00C558A5"/>
    <w:sectPr w:rsidR="00C558A5" w:rsidSect="000D0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00A7"/>
    <w:multiLevelType w:val="hybridMultilevel"/>
    <w:tmpl w:val="1C80B830"/>
    <w:lvl w:ilvl="0" w:tplc="189A1F68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D4"/>
    <w:rsid w:val="000D08D4"/>
    <w:rsid w:val="00C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A83F"/>
  <w15:chartTrackingRefBased/>
  <w15:docId w15:val="{2902EC1E-CE27-4CB3-A8FA-1777C7E4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08D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FFT FFT</dc:creator>
  <cp:keywords/>
  <dc:description/>
  <cp:lastModifiedBy>FFT FFT</cp:lastModifiedBy>
  <cp:revision>1</cp:revision>
  <dcterms:created xsi:type="dcterms:W3CDTF">2016-10-24T15:43:00Z</dcterms:created>
  <dcterms:modified xsi:type="dcterms:W3CDTF">2016-10-24T15:46:00Z</dcterms:modified>
</cp:coreProperties>
</file>