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99C28" w14:textId="1637312D" w:rsidR="00633AF2" w:rsidRPr="00D246F8" w:rsidRDefault="00CF4527" w:rsidP="0050392D">
      <w:pPr>
        <w:pStyle w:val="Titre"/>
        <w:shd w:val="clear" w:color="auto" w:fill="00374B"/>
        <w:spacing w:after="360"/>
      </w:pPr>
      <w:r w:rsidRPr="00D246F8">
        <w:t>Les télécoms : premiers acteurs du numérique. Étude économique 2020</w:t>
      </w:r>
    </w:p>
    <w:p w14:paraId="0A429DC7" w14:textId="77777777" w:rsidR="001075C6" w:rsidRDefault="001075C6">
      <w:r>
        <w:t xml:space="preserve">Créée en 2007, la Fédération Française des Télécoms réunit les opérateurs de communications électroniques en France. </w:t>
      </w:r>
    </w:p>
    <w:p w14:paraId="5E66403F" w14:textId="38AB94EA" w:rsidR="00CF4527" w:rsidRDefault="001075C6">
      <w:r>
        <w:t>Elle a pour mission de promouvoir une industrie responsable et innovante au regard de la société, de l’environnement, des personnes et des entreprises du secteur, en défendant les intérêts économiques de ses adhérents et en participant à la valorisation de la profession au niveau national et international.</w:t>
      </w:r>
    </w:p>
    <w:p w14:paraId="59911F80" w14:textId="22DA9C2A" w:rsidR="006A46D0" w:rsidRDefault="006A46D0" w:rsidP="006A46D0">
      <w:r>
        <w:t>Pour réaliser ses missions, la Fédération organise dans l’intérêt de ses membres, un dialogue structuré et constant avec l’ensemble des parties prenantes du secteur et de son environnement institutionnel et privé. Elle privilégie chaque fois que possible la régulation ouverte.</w:t>
      </w:r>
    </w:p>
    <w:p w14:paraId="297CA2A3" w14:textId="65B62BC2" w:rsidR="001075C6" w:rsidRDefault="006A46D0" w:rsidP="006A46D0">
      <w:r>
        <w:t>Elle assure de façon exigeante la représentation du secteur sur les questions d’intérêt commun dans le respect absolu des règles de la concurrence en vigueur.</w:t>
      </w:r>
    </w:p>
    <w:p w14:paraId="2B6531EC" w14:textId="31E6B715" w:rsidR="007F14C7" w:rsidRPr="00F24F93" w:rsidRDefault="007F14C7" w:rsidP="0050392D">
      <w:pPr>
        <w:pBdr>
          <w:bottom w:val="single" w:sz="12" w:space="1" w:color="auto"/>
        </w:pBdr>
        <w:spacing w:after="120"/>
        <w:rPr>
          <w:rFonts w:eastAsia="Times New Roman" w:cstheme="minorHAnsi"/>
          <w:sz w:val="18"/>
          <w:szCs w:val="18"/>
          <w:lang w:eastAsia="fr-FR"/>
        </w:rPr>
      </w:pPr>
      <w:r w:rsidRPr="00F24F93">
        <w:rPr>
          <w:sz w:val="18"/>
          <w:szCs w:val="18"/>
        </w:rPr>
        <w:t xml:space="preserve">Logos de </w:t>
      </w:r>
      <w:r w:rsidRPr="00F24F93">
        <w:rPr>
          <w:rFonts w:eastAsia="Times New Roman" w:cstheme="minorHAnsi"/>
          <w:sz w:val="18"/>
          <w:szCs w:val="18"/>
          <w:lang w:eastAsia="fr-FR"/>
        </w:rPr>
        <w:t xml:space="preserve">Altice-SFR ; </w:t>
      </w:r>
      <w:proofErr w:type="spellStart"/>
      <w:r w:rsidRPr="00F24F93">
        <w:rPr>
          <w:rFonts w:eastAsia="Times New Roman" w:cstheme="minorHAnsi"/>
          <w:sz w:val="18"/>
          <w:szCs w:val="18"/>
          <w:lang w:eastAsia="fr-FR"/>
        </w:rPr>
        <w:t>Arteria</w:t>
      </w:r>
      <w:proofErr w:type="spellEnd"/>
      <w:r w:rsidRPr="00F24F93">
        <w:rPr>
          <w:rFonts w:eastAsia="Times New Roman" w:cstheme="minorHAnsi"/>
          <w:sz w:val="18"/>
          <w:szCs w:val="18"/>
          <w:lang w:eastAsia="fr-FR"/>
        </w:rPr>
        <w:t xml:space="preserve"> ; Bouygues Telecom ; Colt </w:t>
      </w:r>
      <w:proofErr w:type="spellStart"/>
      <w:r w:rsidRPr="00F24F93">
        <w:rPr>
          <w:rFonts w:eastAsia="Times New Roman" w:cstheme="minorHAnsi"/>
          <w:sz w:val="18"/>
          <w:szCs w:val="18"/>
          <w:lang w:eastAsia="fr-FR"/>
        </w:rPr>
        <w:t>Technology</w:t>
      </w:r>
      <w:proofErr w:type="spellEnd"/>
      <w:r w:rsidRPr="00F24F93">
        <w:rPr>
          <w:rFonts w:eastAsia="Times New Roman" w:cstheme="minorHAnsi"/>
          <w:sz w:val="18"/>
          <w:szCs w:val="18"/>
          <w:lang w:eastAsia="fr-FR"/>
        </w:rPr>
        <w:t xml:space="preserve"> Services ; Euro-Information Telecom ; Hub One ; </w:t>
      </w:r>
      <w:proofErr w:type="spellStart"/>
      <w:r w:rsidRPr="00F24F93">
        <w:rPr>
          <w:rFonts w:eastAsia="Times New Roman" w:cstheme="minorHAnsi"/>
          <w:sz w:val="18"/>
          <w:szCs w:val="18"/>
          <w:lang w:eastAsia="fr-FR"/>
        </w:rPr>
        <w:t>Ielo</w:t>
      </w:r>
      <w:proofErr w:type="spellEnd"/>
      <w:r w:rsidRPr="00F24F93">
        <w:rPr>
          <w:rFonts w:eastAsia="Times New Roman" w:cstheme="minorHAnsi"/>
          <w:sz w:val="18"/>
          <w:szCs w:val="18"/>
          <w:lang w:eastAsia="fr-FR"/>
        </w:rPr>
        <w:t xml:space="preserve"> ; IP Directions ; La Poste Mobile ; </w:t>
      </w:r>
      <w:proofErr w:type="spellStart"/>
      <w:r w:rsidRPr="00F24F93">
        <w:rPr>
          <w:rFonts w:eastAsia="Times New Roman" w:cstheme="minorHAnsi"/>
          <w:sz w:val="18"/>
          <w:szCs w:val="18"/>
          <w:lang w:eastAsia="fr-FR"/>
        </w:rPr>
        <w:t>Legos</w:t>
      </w:r>
      <w:proofErr w:type="spellEnd"/>
      <w:r w:rsidRPr="00F24F93">
        <w:rPr>
          <w:rFonts w:eastAsia="Times New Roman" w:cstheme="minorHAnsi"/>
          <w:sz w:val="18"/>
          <w:szCs w:val="18"/>
          <w:lang w:eastAsia="fr-FR"/>
        </w:rPr>
        <w:t xml:space="preserve"> ; </w:t>
      </w:r>
      <w:proofErr w:type="spellStart"/>
      <w:r w:rsidRPr="00F24F93">
        <w:rPr>
          <w:rFonts w:eastAsia="Times New Roman" w:cstheme="minorHAnsi"/>
          <w:sz w:val="18"/>
          <w:szCs w:val="18"/>
          <w:lang w:eastAsia="fr-FR"/>
        </w:rPr>
        <w:t>Manifone</w:t>
      </w:r>
      <w:proofErr w:type="spellEnd"/>
      <w:r w:rsidRPr="00F24F93">
        <w:rPr>
          <w:rFonts w:eastAsia="Times New Roman" w:cstheme="minorHAnsi"/>
          <w:sz w:val="18"/>
          <w:szCs w:val="18"/>
          <w:lang w:eastAsia="fr-FR"/>
        </w:rPr>
        <w:t xml:space="preserve"> ; </w:t>
      </w:r>
      <w:proofErr w:type="spellStart"/>
      <w:r w:rsidRPr="00F24F93">
        <w:rPr>
          <w:rFonts w:eastAsia="Times New Roman" w:cstheme="minorHAnsi"/>
          <w:sz w:val="18"/>
          <w:szCs w:val="18"/>
          <w:lang w:eastAsia="fr-FR"/>
        </w:rPr>
        <w:t>Odigo</w:t>
      </w:r>
      <w:proofErr w:type="spellEnd"/>
      <w:r w:rsidRPr="00F24F93">
        <w:rPr>
          <w:rFonts w:eastAsia="Times New Roman" w:cstheme="minorHAnsi"/>
          <w:sz w:val="18"/>
          <w:szCs w:val="18"/>
          <w:lang w:eastAsia="fr-FR"/>
        </w:rPr>
        <w:t xml:space="preserve"> ; Orange ; </w:t>
      </w:r>
      <w:proofErr w:type="spellStart"/>
      <w:r w:rsidRPr="00F24F93">
        <w:rPr>
          <w:rFonts w:eastAsia="Times New Roman" w:cstheme="minorHAnsi"/>
          <w:sz w:val="18"/>
          <w:szCs w:val="18"/>
          <w:lang w:eastAsia="fr-FR"/>
        </w:rPr>
        <w:t>Prixtel</w:t>
      </w:r>
      <w:proofErr w:type="spellEnd"/>
      <w:r w:rsidRPr="00F24F93">
        <w:rPr>
          <w:rFonts w:eastAsia="Times New Roman" w:cstheme="minorHAnsi"/>
          <w:sz w:val="18"/>
          <w:szCs w:val="18"/>
          <w:lang w:eastAsia="fr-FR"/>
        </w:rPr>
        <w:t xml:space="preserve"> ; RATP </w:t>
      </w:r>
      <w:proofErr w:type="spellStart"/>
      <w:r w:rsidRPr="00F24F93">
        <w:rPr>
          <w:rFonts w:eastAsia="Times New Roman" w:cstheme="minorHAnsi"/>
          <w:sz w:val="18"/>
          <w:szCs w:val="18"/>
          <w:lang w:eastAsia="fr-FR"/>
        </w:rPr>
        <w:t>Connect</w:t>
      </w:r>
      <w:proofErr w:type="spellEnd"/>
      <w:r w:rsidRPr="00F24F93">
        <w:rPr>
          <w:rFonts w:eastAsia="Times New Roman" w:cstheme="minorHAnsi"/>
          <w:sz w:val="18"/>
          <w:szCs w:val="18"/>
          <w:lang w:eastAsia="fr-FR"/>
        </w:rPr>
        <w:t xml:space="preserve"> ; </w:t>
      </w:r>
      <w:proofErr w:type="spellStart"/>
      <w:r w:rsidRPr="00F24F93">
        <w:rPr>
          <w:rFonts w:eastAsia="Times New Roman" w:cstheme="minorHAnsi"/>
          <w:sz w:val="18"/>
          <w:szCs w:val="18"/>
          <w:lang w:eastAsia="fr-FR"/>
        </w:rPr>
        <w:t>Syma</w:t>
      </w:r>
      <w:proofErr w:type="spellEnd"/>
      <w:r w:rsidRPr="00F24F93">
        <w:rPr>
          <w:rFonts w:eastAsia="Times New Roman" w:cstheme="minorHAnsi"/>
          <w:sz w:val="18"/>
          <w:szCs w:val="18"/>
          <w:lang w:eastAsia="fr-FR"/>
        </w:rPr>
        <w:t xml:space="preserve"> ; </w:t>
      </w:r>
      <w:proofErr w:type="spellStart"/>
      <w:r w:rsidRPr="00F24F93">
        <w:rPr>
          <w:rFonts w:eastAsia="Times New Roman" w:cstheme="minorHAnsi"/>
          <w:sz w:val="18"/>
          <w:szCs w:val="18"/>
          <w:lang w:eastAsia="fr-FR"/>
        </w:rPr>
        <w:t>Tofane</w:t>
      </w:r>
      <w:proofErr w:type="spellEnd"/>
      <w:r w:rsidRPr="00F24F93">
        <w:rPr>
          <w:rFonts w:eastAsia="Times New Roman" w:cstheme="minorHAnsi"/>
          <w:sz w:val="18"/>
          <w:szCs w:val="18"/>
          <w:lang w:eastAsia="fr-FR"/>
        </w:rPr>
        <w:t xml:space="preserve"> ; Verizon France ; Worldline</w:t>
      </w:r>
      <w:r w:rsidR="00D246F8" w:rsidRPr="00F24F93">
        <w:rPr>
          <w:rFonts w:eastAsia="Times New Roman" w:cstheme="minorHAnsi"/>
          <w:sz w:val="18"/>
          <w:szCs w:val="18"/>
          <w:lang w:eastAsia="fr-FR"/>
        </w:rPr>
        <w:t xml:space="preserve"> et Fédération Française des Télécoms.</w:t>
      </w:r>
    </w:p>
    <w:p w14:paraId="7B0A669C" w14:textId="77777777" w:rsidR="0050392D" w:rsidRPr="0050392D" w:rsidRDefault="0050392D" w:rsidP="0050392D">
      <w:pPr>
        <w:pBdr>
          <w:bottom w:val="single" w:sz="12" w:space="1" w:color="auto"/>
        </w:pBdr>
        <w:spacing w:after="360"/>
        <w:rPr>
          <w:rFonts w:eastAsia="Times New Roman" w:cstheme="minorHAnsi"/>
          <w:sz w:val="12"/>
          <w:szCs w:val="12"/>
          <w:lang w:eastAsia="fr-FR"/>
        </w:rPr>
      </w:pPr>
    </w:p>
    <w:p w14:paraId="184D6F09" w14:textId="6E6B84BF" w:rsidR="007F14C7" w:rsidRPr="00AF2CD5" w:rsidRDefault="00AF2CD5" w:rsidP="00AF2CD5">
      <w:pPr>
        <w:pStyle w:val="Titre1"/>
      </w:pPr>
      <w:r w:rsidRPr="00AF2CD5">
        <w:t>Les réseaux télécoms déterminants lors de la crise sanitaire</w:t>
      </w:r>
    </w:p>
    <w:p w14:paraId="2DD083B5" w14:textId="3AD3A09D" w:rsidR="00AF2CD5" w:rsidRPr="00E2302D" w:rsidRDefault="00AF2CD5" w:rsidP="00E2302D">
      <w:pPr>
        <w:pStyle w:val="Titre2"/>
        <w:rPr>
          <w:sz w:val="24"/>
          <w:szCs w:val="24"/>
        </w:rPr>
      </w:pPr>
      <w:r w:rsidRPr="00E2302D">
        <w:rPr>
          <w:sz w:val="24"/>
          <w:szCs w:val="24"/>
        </w:rPr>
        <w:t>Ils ont contribué au maintien des activités essentielles</w:t>
      </w:r>
      <w:r w:rsidR="0050392D">
        <w:rPr>
          <w:sz w:val="24"/>
          <w:szCs w:val="24"/>
        </w:rPr>
        <w:t> :</w:t>
      </w:r>
    </w:p>
    <w:p w14:paraId="1A7B6575" w14:textId="546C23BE" w:rsidR="00AF2CD5" w:rsidRDefault="00E2302D" w:rsidP="00CA291F">
      <w:pPr>
        <w:pStyle w:val="Paragraphedeliste"/>
        <w:numPr>
          <w:ilvl w:val="0"/>
          <w:numId w:val="4"/>
        </w:numPr>
      </w:pPr>
      <w:r w:rsidRPr="00CA291F">
        <w:rPr>
          <w:b/>
          <w:bCs/>
        </w:rPr>
        <w:t>Économie :</w:t>
      </w:r>
      <w:r>
        <w:t xml:space="preserve"> </w:t>
      </w:r>
      <w:r w:rsidR="00644E7D">
        <w:t xml:space="preserve">Salariés en télétravail (au moins un jour par semaine), France, 2017-2020, % | </w:t>
      </w:r>
      <w:r w:rsidR="00747812">
        <w:t xml:space="preserve">Des réseaux télécoms indispensables pour le télétravail | Avril 2019 : 3% | Avril 2020 : 59% (x20) | Source : </w:t>
      </w:r>
      <w:r w:rsidR="00815A28">
        <w:t>Dares (ministère du Travail), analyse Arthur D. Little.</w:t>
      </w:r>
    </w:p>
    <w:p w14:paraId="53A42489" w14:textId="486FC9A8" w:rsidR="00815A28" w:rsidRDefault="00815A28" w:rsidP="00CA291F">
      <w:pPr>
        <w:pStyle w:val="Paragraphedeliste"/>
        <w:numPr>
          <w:ilvl w:val="0"/>
          <w:numId w:val="4"/>
        </w:numPr>
      </w:pPr>
      <w:r w:rsidRPr="00CA291F">
        <w:rPr>
          <w:b/>
          <w:bCs/>
        </w:rPr>
        <w:t>Éducation :</w:t>
      </w:r>
      <w:r>
        <w:t xml:space="preserve"> </w:t>
      </w:r>
      <w:r w:rsidR="00E81D2C">
        <w:t>Enseignement à distance, étudiants du top 10 des universités, France, 2020, en milliers | Des réseaux qui ont permis l’enseignement à distance pendant la crise | étudiants : 529</w:t>
      </w:r>
      <w:r w:rsidR="00E61A6B">
        <w:t xml:space="preserve"> | Partiellement : 225 (43%) | 100% en ligne : 304 (57%) | </w:t>
      </w:r>
      <w:r w:rsidR="00EF0F3C">
        <w:t>Source : sites des universités en France, analyse Arthur D. Little.</w:t>
      </w:r>
    </w:p>
    <w:p w14:paraId="03981012" w14:textId="12B7599E" w:rsidR="00EF0F3C" w:rsidRDefault="00EF0F3C" w:rsidP="00CA291F">
      <w:pPr>
        <w:pStyle w:val="Paragraphedeliste"/>
        <w:numPr>
          <w:ilvl w:val="0"/>
          <w:numId w:val="4"/>
        </w:numPr>
      </w:pPr>
      <w:r w:rsidRPr="00CA291F">
        <w:rPr>
          <w:b/>
          <w:bCs/>
        </w:rPr>
        <w:t>Santé :</w:t>
      </w:r>
      <w:r>
        <w:t xml:space="preserve"> Téléconsultations remboursées France, janvier–juin 2020, en millions | </w:t>
      </w:r>
      <w:r w:rsidR="00A307F0">
        <w:t>Des réseaux essentiels pour maintenir le suivi médical des Français | Nombre de téléconsultations par semaine : janvier, février et mars 2020 : 0,01 | Avril 2020 : 2,80 (x300) | Mai 2020 : 2,90 | Juin 2020 : 1,80</w:t>
      </w:r>
      <w:r w:rsidR="00CA291F">
        <w:t xml:space="preserve"> | Source : Ameli (Assurance Maladie), analyse Arthur D. Little.</w:t>
      </w:r>
    </w:p>
    <w:p w14:paraId="2882F767" w14:textId="5CAB664E" w:rsidR="00EE7A47" w:rsidRPr="00E2302D" w:rsidRDefault="00EE7A47" w:rsidP="00EE7A47">
      <w:pPr>
        <w:pStyle w:val="Titre2"/>
        <w:rPr>
          <w:sz w:val="24"/>
          <w:szCs w:val="24"/>
        </w:rPr>
      </w:pPr>
      <w:r w:rsidRPr="00E2302D">
        <w:rPr>
          <w:sz w:val="24"/>
          <w:szCs w:val="24"/>
        </w:rPr>
        <w:t xml:space="preserve">Ils ont </w:t>
      </w:r>
      <w:r w:rsidRPr="00EE7A47">
        <w:rPr>
          <w:sz w:val="24"/>
          <w:szCs w:val="24"/>
        </w:rPr>
        <w:t>su accompagner l’explosion des usages</w:t>
      </w:r>
      <w:r w:rsidR="0050392D">
        <w:rPr>
          <w:sz w:val="24"/>
          <w:szCs w:val="24"/>
        </w:rPr>
        <w:t> :</w:t>
      </w:r>
    </w:p>
    <w:p w14:paraId="1EF5C397" w14:textId="491CA3AC" w:rsidR="00CA291F" w:rsidRDefault="0062447A" w:rsidP="00633AF2">
      <w:pPr>
        <w:pStyle w:val="Paragraphedeliste"/>
        <w:numPr>
          <w:ilvl w:val="0"/>
          <w:numId w:val="5"/>
        </w:numPr>
      </w:pPr>
      <w:r w:rsidRPr="0089456A">
        <w:rPr>
          <w:b/>
          <w:bCs/>
        </w:rPr>
        <w:t>Évolution de la consommation voix mobile</w:t>
      </w:r>
      <w:r w:rsidR="00E9656F">
        <w:rPr>
          <w:b/>
          <w:bCs/>
        </w:rPr>
        <w:t xml:space="preserve"> </w:t>
      </w:r>
      <w:r w:rsidR="00E9656F" w:rsidRPr="00E9656F">
        <w:t>|</w:t>
      </w:r>
      <w:r w:rsidRPr="00E9656F">
        <w:t xml:space="preserve"> France</w:t>
      </w:r>
      <w:r>
        <w:t>, T1 2019 – T1 2020, en millions de minutes | 2</w:t>
      </w:r>
      <w:r w:rsidRPr="0062447A">
        <w:rPr>
          <w:vertAlign w:val="superscript"/>
        </w:rPr>
        <w:t>ème</w:t>
      </w:r>
      <w:r>
        <w:t xml:space="preserve"> trimestre 2018</w:t>
      </w:r>
      <w:r w:rsidR="00487885">
        <w:t> : 43 049 | 2</w:t>
      </w:r>
      <w:r w:rsidR="00487885" w:rsidRPr="00487885">
        <w:rPr>
          <w:vertAlign w:val="superscript"/>
        </w:rPr>
        <w:t>ème</w:t>
      </w:r>
      <w:r w:rsidR="00487885">
        <w:t xml:space="preserve"> trimestre 2019 : 43 956 (+ 2%) | </w:t>
      </w:r>
      <w:r w:rsidR="00D32ED9">
        <w:t>2</w:t>
      </w:r>
      <w:r w:rsidR="00D32ED9" w:rsidRPr="00D32ED9">
        <w:rPr>
          <w:vertAlign w:val="superscript"/>
        </w:rPr>
        <w:t>ème</w:t>
      </w:r>
      <w:r w:rsidR="00D32ED9">
        <w:t xml:space="preserve"> trimestre 2020 : 57 210 (+ 30%, impact crise Covid-19).</w:t>
      </w:r>
    </w:p>
    <w:p w14:paraId="562D27D7" w14:textId="7F66D0C8" w:rsidR="00D32ED9" w:rsidRDefault="00A61AED" w:rsidP="00633AF2">
      <w:pPr>
        <w:pStyle w:val="Paragraphedeliste"/>
        <w:numPr>
          <w:ilvl w:val="0"/>
          <w:numId w:val="5"/>
        </w:numPr>
      </w:pPr>
      <w:r w:rsidRPr="00E9656F">
        <w:rPr>
          <w:b/>
          <w:bCs/>
        </w:rPr>
        <w:t>Temps moyen passé sur Internet par jour</w:t>
      </w:r>
      <w:r w:rsidR="0089456A">
        <w:t xml:space="preserve"> </w:t>
      </w:r>
      <w:r w:rsidR="00E9656F">
        <w:t>|</w:t>
      </w:r>
      <w:r>
        <w:t xml:space="preserve"> Fixe et mobile, avril 2019 – avril 2020, en minutes/jour</w:t>
      </w:r>
      <w:r w:rsidR="003166CE">
        <w:t xml:space="preserve"> | Avril </w:t>
      </w:r>
      <w:r w:rsidR="008F6D7D">
        <w:t>2018 : 108 | Avril 2019 : 123 (+ 14%) | Avril 2020 : 180 (+ 46%</w:t>
      </w:r>
      <w:r w:rsidR="002F1F6C">
        <w:t>, impact crise Covid-19)</w:t>
      </w:r>
      <w:r w:rsidR="003166CE">
        <w:t xml:space="preserve"> | </w:t>
      </w:r>
      <w:r w:rsidR="003166CE" w:rsidRPr="003166CE">
        <w:t xml:space="preserve">Source : Arcep </w:t>
      </w:r>
      <w:r w:rsidR="003166CE">
        <w:t>2</w:t>
      </w:r>
      <w:r w:rsidR="003166CE" w:rsidRPr="003166CE">
        <w:rPr>
          <w:vertAlign w:val="superscript"/>
        </w:rPr>
        <w:t>ème</w:t>
      </w:r>
      <w:r w:rsidR="003166CE">
        <w:t xml:space="preserve"> trimestre </w:t>
      </w:r>
      <w:r w:rsidR="003166CE" w:rsidRPr="003166CE">
        <w:t>2020, données Médiamétrie, analyse Arthur D. Little.</w:t>
      </w:r>
    </w:p>
    <w:p w14:paraId="50365FEA" w14:textId="4919DE40" w:rsidR="002F1F6C" w:rsidRDefault="002F1F6C" w:rsidP="002F1F6C">
      <w:pPr>
        <w:pStyle w:val="Titre1"/>
      </w:pPr>
      <w:r>
        <w:lastRenderedPageBreak/>
        <w:t>Des investissements toujours plus élevés</w:t>
      </w:r>
    </w:p>
    <w:p w14:paraId="26647A66" w14:textId="19666069" w:rsidR="002F1F6C" w:rsidRDefault="00616E9A" w:rsidP="00616E9A">
      <w:pPr>
        <w:pStyle w:val="Titre2"/>
      </w:pPr>
      <w:bookmarkStart w:id="0" w:name="_Hlk58921501"/>
      <w:r>
        <w:t>R</w:t>
      </w:r>
      <w:r w:rsidRPr="00616E9A">
        <w:t xml:space="preserve">ecord historique de plus de 10 </w:t>
      </w:r>
      <w:r>
        <w:t>milliards d’euros</w:t>
      </w:r>
      <w:r w:rsidRPr="00616E9A">
        <w:t xml:space="preserve"> en 201</w:t>
      </w:r>
      <w:r>
        <w:t>9</w:t>
      </w:r>
    </w:p>
    <w:bookmarkEnd w:id="0"/>
    <w:p w14:paraId="58625414" w14:textId="72349D78" w:rsidR="00616E9A" w:rsidRDefault="00590D2D" w:rsidP="00590D2D">
      <w:r>
        <w:t>Investissements dans les réseaux télécoms</w:t>
      </w:r>
      <w:r w:rsidR="00275C18" w:rsidRPr="00275C18">
        <w:rPr>
          <w:vertAlign w:val="superscript"/>
        </w:rPr>
        <w:t>1</w:t>
      </w:r>
      <w:r>
        <w:t>, France, 2010-2019, milliards d’euros.</w:t>
      </w:r>
    </w:p>
    <w:p w14:paraId="6789FB81" w14:textId="49B9181F" w:rsidR="00CC11FF" w:rsidRPr="003F2E71" w:rsidRDefault="00CC11FF" w:rsidP="00CC11FF">
      <w:pPr>
        <w:rPr>
          <w:b/>
          <w:bCs/>
        </w:rPr>
      </w:pPr>
      <w:r w:rsidRPr="003F2E71">
        <w:rPr>
          <w:b/>
          <w:bCs/>
        </w:rPr>
        <w:t>82 milliards depuis 10 ans (89,2 milliards en incluant l’acquisition de fréquences)</w:t>
      </w:r>
      <w:r w:rsidR="003F2E71">
        <w:rPr>
          <w:b/>
          <w:bCs/>
        </w:rPr>
        <w:t> :</w:t>
      </w:r>
    </w:p>
    <w:tbl>
      <w:tblPr>
        <w:tblStyle w:val="Grilledutableau"/>
        <w:tblW w:w="0" w:type="auto"/>
        <w:jc w:val="center"/>
        <w:tblLook w:val="04A0" w:firstRow="1" w:lastRow="0" w:firstColumn="1" w:lastColumn="0" w:noHBand="0" w:noVBand="1"/>
      </w:tblPr>
      <w:tblGrid>
        <w:gridCol w:w="1134"/>
        <w:gridCol w:w="2551"/>
        <w:gridCol w:w="2551"/>
        <w:gridCol w:w="2551"/>
      </w:tblGrid>
      <w:tr w:rsidR="00EF5766" w14:paraId="06480EF8" w14:textId="2F6DB413" w:rsidTr="003F2E71">
        <w:trPr>
          <w:jc w:val="center"/>
        </w:trPr>
        <w:tc>
          <w:tcPr>
            <w:tcW w:w="1134" w:type="dxa"/>
            <w:shd w:val="clear" w:color="auto" w:fill="EBF0F5"/>
          </w:tcPr>
          <w:p w14:paraId="77DD77C1" w14:textId="688EAD96" w:rsidR="00EF5766" w:rsidRPr="003F2E71" w:rsidRDefault="00EF5766" w:rsidP="008B09E9">
            <w:pPr>
              <w:jc w:val="center"/>
              <w:rPr>
                <w:b/>
                <w:bCs/>
              </w:rPr>
            </w:pPr>
            <w:bookmarkStart w:id="1" w:name="_Hlk58922214"/>
            <w:r w:rsidRPr="003F2E71">
              <w:rPr>
                <w:b/>
                <w:bCs/>
              </w:rPr>
              <w:t>Année</w:t>
            </w:r>
          </w:p>
        </w:tc>
        <w:tc>
          <w:tcPr>
            <w:tcW w:w="2551" w:type="dxa"/>
            <w:shd w:val="clear" w:color="auto" w:fill="EBF0F5"/>
          </w:tcPr>
          <w:p w14:paraId="5E7B42C8" w14:textId="78CF44A3" w:rsidR="00EF5766" w:rsidRPr="003F2E71" w:rsidRDefault="007556B4" w:rsidP="008B09E9">
            <w:pPr>
              <w:jc w:val="center"/>
              <w:rPr>
                <w:b/>
                <w:bCs/>
              </w:rPr>
            </w:pPr>
            <w:r w:rsidRPr="003F2E71">
              <w:rPr>
                <w:b/>
                <w:bCs/>
              </w:rPr>
              <w:t xml:space="preserve">Investissements </w:t>
            </w:r>
            <w:r w:rsidR="008B09E9" w:rsidRPr="003F2E71">
              <w:rPr>
                <w:b/>
                <w:bCs/>
              </w:rPr>
              <w:t>fixes</w:t>
            </w:r>
          </w:p>
        </w:tc>
        <w:tc>
          <w:tcPr>
            <w:tcW w:w="2551" w:type="dxa"/>
            <w:shd w:val="clear" w:color="auto" w:fill="EBF0F5"/>
          </w:tcPr>
          <w:p w14:paraId="6513296C" w14:textId="1C0B4E80" w:rsidR="00EF5766" w:rsidRPr="003F2E71" w:rsidRDefault="008B09E9" w:rsidP="008B09E9">
            <w:pPr>
              <w:jc w:val="center"/>
              <w:rPr>
                <w:b/>
                <w:bCs/>
              </w:rPr>
            </w:pPr>
            <w:r w:rsidRPr="003F2E71">
              <w:rPr>
                <w:b/>
                <w:bCs/>
              </w:rPr>
              <w:t>Investissements mobiles</w:t>
            </w:r>
          </w:p>
        </w:tc>
        <w:tc>
          <w:tcPr>
            <w:tcW w:w="2551" w:type="dxa"/>
            <w:shd w:val="clear" w:color="auto" w:fill="EBF0F5"/>
          </w:tcPr>
          <w:p w14:paraId="1EA20715" w14:textId="6E3F1FDB" w:rsidR="00EF5766" w:rsidRPr="003F2E71" w:rsidRDefault="008B09E9" w:rsidP="008B09E9">
            <w:pPr>
              <w:jc w:val="center"/>
              <w:rPr>
                <w:b/>
                <w:bCs/>
              </w:rPr>
            </w:pPr>
            <w:r w:rsidRPr="003F2E71">
              <w:rPr>
                <w:b/>
                <w:bCs/>
              </w:rPr>
              <w:t>Total investissements</w:t>
            </w:r>
          </w:p>
        </w:tc>
      </w:tr>
      <w:tr w:rsidR="00EF5766" w14:paraId="749289BF" w14:textId="0668A2F0" w:rsidTr="003F2E71">
        <w:trPr>
          <w:jc w:val="center"/>
        </w:trPr>
        <w:tc>
          <w:tcPr>
            <w:tcW w:w="1134" w:type="dxa"/>
          </w:tcPr>
          <w:p w14:paraId="1572EA48" w14:textId="3356DCAB" w:rsidR="00EF5766" w:rsidRPr="003F2E71" w:rsidRDefault="00A266F8" w:rsidP="008B09E9">
            <w:pPr>
              <w:jc w:val="center"/>
              <w:rPr>
                <w:b/>
                <w:bCs/>
              </w:rPr>
            </w:pPr>
            <w:r w:rsidRPr="003F2E71">
              <w:rPr>
                <w:b/>
                <w:bCs/>
              </w:rPr>
              <w:t>2010</w:t>
            </w:r>
          </w:p>
        </w:tc>
        <w:tc>
          <w:tcPr>
            <w:tcW w:w="2551" w:type="dxa"/>
          </w:tcPr>
          <w:p w14:paraId="49AC61EF" w14:textId="6F4D8678" w:rsidR="00EF5766" w:rsidRDefault="00A266F8" w:rsidP="008B09E9">
            <w:pPr>
              <w:jc w:val="center"/>
            </w:pPr>
            <w:r>
              <w:t>4,4</w:t>
            </w:r>
          </w:p>
        </w:tc>
        <w:tc>
          <w:tcPr>
            <w:tcW w:w="2551" w:type="dxa"/>
          </w:tcPr>
          <w:p w14:paraId="32C1D73F" w14:textId="04B2A532" w:rsidR="00EF5766" w:rsidRDefault="008B590C" w:rsidP="008B09E9">
            <w:pPr>
              <w:jc w:val="center"/>
            </w:pPr>
            <w:r>
              <w:t>2,1</w:t>
            </w:r>
          </w:p>
        </w:tc>
        <w:tc>
          <w:tcPr>
            <w:tcW w:w="2551" w:type="dxa"/>
          </w:tcPr>
          <w:p w14:paraId="773F7DB1" w14:textId="4D724C9F" w:rsidR="00EF5766" w:rsidRDefault="00A01BEF" w:rsidP="008B09E9">
            <w:pPr>
              <w:jc w:val="center"/>
            </w:pPr>
            <w:r>
              <w:t>6,5</w:t>
            </w:r>
          </w:p>
        </w:tc>
      </w:tr>
      <w:tr w:rsidR="00EF5766" w14:paraId="10153463" w14:textId="67775FEF" w:rsidTr="003F2E71">
        <w:trPr>
          <w:jc w:val="center"/>
        </w:trPr>
        <w:tc>
          <w:tcPr>
            <w:tcW w:w="1134" w:type="dxa"/>
          </w:tcPr>
          <w:p w14:paraId="34BB4A11" w14:textId="08691D35" w:rsidR="00EF5766" w:rsidRPr="003F2E71" w:rsidRDefault="00A266F8" w:rsidP="008B09E9">
            <w:pPr>
              <w:jc w:val="center"/>
              <w:rPr>
                <w:b/>
                <w:bCs/>
              </w:rPr>
            </w:pPr>
            <w:r w:rsidRPr="003F2E71">
              <w:rPr>
                <w:b/>
                <w:bCs/>
              </w:rPr>
              <w:t>2011</w:t>
            </w:r>
          </w:p>
        </w:tc>
        <w:tc>
          <w:tcPr>
            <w:tcW w:w="2551" w:type="dxa"/>
          </w:tcPr>
          <w:p w14:paraId="30046AFB" w14:textId="5283D0A1" w:rsidR="00EF5766" w:rsidRDefault="00A266F8" w:rsidP="008B09E9">
            <w:pPr>
              <w:jc w:val="center"/>
            </w:pPr>
            <w:r>
              <w:t>5,0</w:t>
            </w:r>
          </w:p>
        </w:tc>
        <w:tc>
          <w:tcPr>
            <w:tcW w:w="2551" w:type="dxa"/>
          </w:tcPr>
          <w:p w14:paraId="7A6E4A97" w14:textId="38668476" w:rsidR="00EF5766" w:rsidRDefault="008B590C" w:rsidP="008B09E9">
            <w:pPr>
              <w:jc w:val="center"/>
            </w:pPr>
            <w:r>
              <w:t>2,3</w:t>
            </w:r>
          </w:p>
        </w:tc>
        <w:tc>
          <w:tcPr>
            <w:tcW w:w="2551" w:type="dxa"/>
          </w:tcPr>
          <w:p w14:paraId="69A8300F" w14:textId="0496B871" w:rsidR="00EF5766" w:rsidRDefault="00A01BEF" w:rsidP="008B09E9">
            <w:pPr>
              <w:jc w:val="center"/>
            </w:pPr>
            <w:r>
              <w:t>7,3</w:t>
            </w:r>
          </w:p>
        </w:tc>
      </w:tr>
      <w:tr w:rsidR="00EF5766" w14:paraId="1FA0ACAA" w14:textId="4ECAF67C" w:rsidTr="003F2E71">
        <w:trPr>
          <w:jc w:val="center"/>
        </w:trPr>
        <w:tc>
          <w:tcPr>
            <w:tcW w:w="1134" w:type="dxa"/>
          </w:tcPr>
          <w:p w14:paraId="18877503" w14:textId="78A23359" w:rsidR="00EF5766" w:rsidRPr="003F2E71" w:rsidRDefault="00A266F8" w:rsidP="008B09E9">
            <w:pPr>
              <w:jc w:val="center"/>
              <w:rPr>
                <w:b/>
                <w:bCs/>
              </w:rPr>
            </w:pPr>
            <w:r w:rsidRPr="003F2E71">
              <w:rPr>
                <w:b/>
                <w:bCs/>
              </w:rPr>
              <w:t>2012</w:t>
            </w:r>
          </w:p>
        </w:tc>
        <w:tc>
          <w:tcPr>
            <w:tcW w:w="2551" w:type="dxa"/>
          </w:tcPr>
          <w:p w14:paraId="5A2787E8" w14:textId="738A3166" w:rsidR="00EF5766" w:rsidRDefault="00A266F8" w:rsidP="008B09E9">
            <w:pPr>
              <w:jc w:val="center"/>
            </w:pPr>
            <w:r>
              <w:t>4,9</w:t>
            </w:r>
          </w:p>
        </w:tc>
        <w:tc>
          <w:tcPr>
            <w:tcW w:w="2551" w:type="dxa"/>
          </w:tcPr>
          <w:p w14:paraId="1ECFDCCE" w14:textId="6E2BDEFF" w:rsidR="00EF5766" w:rsidRDefault="008B590C" w:rsidP="008B09E9">
            <w:pPr>
              <w:jc w:val="center"/>
            </w:pPr>
            <w:r>
              <w:t>2,5</w:t>
            </w:r>
          </w:p>
        </w:tc>
        <w:tc>
          <w:tcPr>
            <w:tcW w:w="2551" w:type="dxa"/>
          </w:tcPr>
          <w:p w14:paraId="5B5EC82A" w14:textId="18A82D08" w:rsidR="00EF5766" w:rsidRDefault="00A01BEF" w:rsidP="008B09E9">
            <w:pPr>
              <w:jc w:val="center"/>
            </w:pPr>
            <w:r>
              <w:t>7,4</w:t>
            </w:r>
          </w:p>
        </w:tc>
      </w:tr>
      <w:tr w:rsidR="00EF5766" w14:paraId="6B914B49" w14:textId="6269D742" w:rsidTr="003F2E71">
        <w:trPr>
          <w:jc w:val="center"/>
        </w:trPr>
        <w:tc>
          <w:tcPr>
            <w:tcW w:w="1134" w:type="dxa"/>
          </w:tcPr>
          <w:p w14:paraId="720CAE8D" w14:textId="4E617319" w:rsidR="00EF5766" w:rsidRPr="003F2E71" w:rsidRDefault="00A266F8" w:rsidP="008B09E9">
            <w:pPr>
              <w:jc w:val="center"/>
              <w:rPr>
                <w:b/>
                <w:bCs/>
              </w:rPr>
            </w:pPr>
            <w:r w:rsidRPr="003F2E71">
              <w:rPr>
                <w:b/>
                <w:bCs/>
              </w:rPr>
              <w:t>2013</w:t>
            </w:r>
          </w:p>
        </w:tc>
        <w:tc>
          <w:tcPr>
            <w:tcW w:w="2551" w:type="dxa"/>
          </w:tcPr>
          <w:p w14:paraId="3AC6C135" w14:textId="78D16274" w:rsidR="00EF5766" w:rsidRDefault="00A266F8" w:rsidP="008B09E9">
            <w:pPr>
              <w:jc w:val="center"/>
            </w:pPr>
            <w:r>
              <w:t>4,7</w:t>
            </w:r>
          </w:p>
        </w:tc>
        <w:tc>
          <w:tcPr>
            <w:tcW w:w="2551" w:type="dxa"/>
          </w:tcPr>
          <w:p w14:paraId="528016DE" w14:textId="5B54EE5B" w:rsidR="00EF5766" w:rsidRDefault="008B590C" w:rsidP="008B09E9">
            <w:pPr>
              <w:jc w:val="center"/>
            </w:pPr>
            <w:r>
              <w:t>2,6</w:t>
            </w:r>
          </w:p>
        </w:tc>
        <w:tc>
          <w:tcPr>
            <w:tcW w:w="2551" w:type="dxa"/>
          </w:tcPr>
          <w:p w14:paraId="1173E8C7" w14:textId="5483538D" w:rsidR="00EF5766" w:rsidRDefault="00A01BEF" w:rsidP="008B09E9">
            <w:pPr>
              <w:jc w:val="center"/>
            </w:pPr>
            <w:r>
              <w:t>7,3</w:t>
            </w:r>
          </w:p>
        </w:tc>
      </w:tr>
      <w:tr w:rsidR="00EF5766" w14:paraId="2B44881E" w14:textId="6D957ADE" w:rsidTr="003F2E71">
        <w:trPr>
          <w:jc w:val="center"/>
        </w:trPr>
        <w:tc>
          <w:tcPr>
            <w:tcW w:w="1134" w:type="dxa"/>
          </w:tcPr>
          <w:p w14:paraId="4002174C" w14:textId="1D93E696" w:rsidR="00EF5766" w:rsidRPr="003F2E71" w:rsidRDefault="00A266F8" w:rsidP="008B09E9">
            <w:pPr>
              <w:jc w:val="center"/>
              <w:rPr>
                <w:b/>
                <w:bCs/>
              </w:rPr>
            </w:pPr>
            <w:r w:rsidRPr="003F2E71">
              <w:rPr>
                <w:b/>
                <w:bCs/>
              </w:rPr>
              <w:t>2014</w:t>
            </w:r>
          </w:p>
        </w:tc>
        <w:tc>
          <w:tcPr>
            <w:tcW w:w="2551" w:type="dxa"/>
          </w:tcPr>
          <w:p w14:paraId="48ED5DB1" w14:textId="16B62D67" w:rsidR="00EF5766" w:rsidRDefault="00A266F8" w:rsidP="008B09E9">
            <w:pPr>
              <w:jc w:val="center"/>
            </w:pPr>
            <w:r>
              <w:t>4,7</w:t>
            </w:r>
          </w:p>
        </w:tc>
        <w:tc>
          <w:tcPr>
            <w:tcW w:w="2551" w:type="dxa"/>
          </w:tcPr>
          <w:p w14:paraId="01A0795D" w14:textId="0A317580" w:rsidR="00EF5766" w:rsidRDefault="008B590C" w:rsidP="008B09E9">
            <w:pPr>
              <w:jc w:val="center"/>
            </w:pPr>
            <w:r>
              <w:t>2,4</w:t>
            </w:r>
          </w:p>
        </w:tc>
        <w:tc>
          <w:tcPr>
            <w:tcW w:w="2551" w:type="dxa"/>
          </w:tcPr>
          <w:p w14:paraId="1A9799ED" w14:textId="73061211" w:rsidR="00EF5766" w:rsidRDefault="00A01BEF" w:rsidP="008B09E9">
            <w:pPr>
              <w:jc w:val="center"/>
            </w:pPr>
            <w:r>
              <w:t>7,1</w:t>
            </w:r>
          </w:p>
        </w:tc>
      </w:tr>
      <w:tr w:rsidR="00EF5766" w14:paraId="0813FA02" w14:textId="5DE4562B" w:rsidTr="003F2E71">
        <w:trPr>
          <w:jc w:val="center"/>
        </w:trPr>
        <w:tc>
          <w:tcPr>
            <w:tcW w:w="1134" w:type="dxa"/>
          </w:tcPr>
          <w:p w14:paraId="7F26A1A4" w14:textId="1B783C89" w:rsidR="00EF5766" w:rsidRPr="003F2E71" w:rsidRDefault="00A266F8" w:rsidP="008B09E9">
            <w:pPr>
              <w:jc w:val="center"/>
              <w:rPr>
                <w:b/>
                <w:bCs/>
              </w:rPr>
            </w:pPr>
            <w:r w:rsidRPr="003F2E71">
              <w:rPr>
                <w:b/>
                <w:bCs/>
              </w:rPr>
              <w:t>2015</w:t>
            </w:r>
          </w:p>
        </w:tc>
        <w:tc>
          <w:tcPr>
            <w:tcW w:w="2551" w:type="dxa"/>
          </w:tcPr>
          <w:p w14:paraId="1C0AC80D" w14:textId="76D21577" w:rsidR="00EF5766" w:rsidRDefault="00A266F8" w:rsidP="008B09E9">
            <w:pPr>
              <w:jc w:val="center"/>
            </w:pPr>
            <w:r>
              <w:t>5,5</w:t>
            </w:r>
          </w:p>
        </w:tc>
        <w:tc>
          <w:tcPr>
            <w:tcW w:w="2551" w:type="dxa"/>
          </w:tcPr>
          <w:p w14:paraId="6882D2FF" w14:textId="0FEBE447" w:rsidR="00EF5766" w:rsidRDefault="008B590C" w:rsidP="008B09E9">
            <w:pPr>
              <w:jc w:val="center"/>
            </w:pPr>
            <w:r>
              <w:t>2,3</w:t>
            </w:r>
          </w:p>
        </w:tc>
        <w:tc>
          <w:tcPr>
            <w:tcW w:w="2551" w:type="dxa"/>
          </w:tcPr>
          <w:p w14:paraId="1BCAAACE" w14:textId="5500E01C" w:rsidR="00EF5766" w:rsidRDefault="00A01BEF" w:rsidP="008B09E9">
            <w:pPr>
              <w:jc w:val="center"/>
            </w:pPr>
            <w:r>
              <w:t>7,8</w:t>
            </w:r>
          </w:p>
        </w:tc>
      </w:tr>
      <w:tr w:rsidR="00EF5766" w14:paraId="77968303" w14:textId="2C6F8523" w:rsidTr="003F2E71">
        <w:trPr>
          <w:jc w:val="center"/>
        </w:trPr>
        <w:tc>
          <w:tcPr>
            <w:tcW w:w="1134" w:type="dxa"/>
          </w:tcPr>
          <w:p w14:paraId="016AC1B9" w14:textId="7B7A2091" w:rsidR="00EF5766" w:rsidRPr="003F2E71" w:rsidRDefault="00A266F8" w:rsidP="008B09E9">
            <w:pPr>
              <w:jc w:val="center"/>
              <w:rPr>
                <w:b/>
                <w:bCs/>
              </w:rPr>
            </w:pPr>
            <w:r w:rsidRPr="003F2E71">
              <w:rPr>
                <w:b/>
                <w:bCs/>
              </w:rPr>
              <w:t>2016</w:t>
            </w:r>
          </w:p>
        </w:tc>
        <w:tc>
          <w:tcPr>
            <w:tcW w:w="2551" w:type="dxa"/>
          </w:tcPr>
          <w:p w14:paraId="738AE1F8" w14:textId="2AAEBBB3" w:rsidR="00EF5766" w:rsidRDefault="00A266F8" w:rsidP="008B09E9">
            <w:pPr>
              <w:jc w:val="center"/>
            </w:pPr>
            <w:r>
              <w:t>6,2</w:t>
            </w:r>
          </w:p>
        </w:tc>
        <w:tc>
          <w:tcPr>
            <w:tcW w:w="2551" w:type="dxa"/>
          </w:tcPr>
          <w:p w14:paraId="1B488D09" w14:textId="37F813E1" w:rsidR="00EF5766" w:rsidRDefault="00A01BEF" w:rsidP="008B09E9">
            <w:pPr>
              <w:jc w:val="center"/>
            </w:pPr>
            <w:r>
              <w:t>2,7</w:t>
            </w:r>
          </w:p>
        </w:tc>
        <w:tc>
          <w:tcPr>
            <w:tcW w:w="2551" w:type="dxa"/>
          </w:tcPr>
          <w:p w14:paraId="4D53613D" w14:textId="61F3C55D" w:rsidR="00EF5766" w:rsidRDefault="00A01BEF" w:rsidP="008B09E9">
            <w:pPr>
              <w:jc w:val="center"/>
            </w:pPr>
            <w:r>
              <w:t>8,9</w:t>
            </w:r>
          </w:p>
        </w:tc>
      </w:tr>
      <w:tr w:rsidR="00A266F8" w14:paraId="2B315E24" w14:textId="77777777" w:rsidTr="003F2E71">
        <w:trPr>
          <w:jc w:val="center"/>
        </w:trPr>
        <w:tc>
          <w:tcPr>
            <w:tcW w:w="1134" w:type="dxa"/>
          </w:tcPr>
          <w:p w14:paraId="1B9EE4F1" w14:textId="5ED73D84" w:rsidR="00A266F8" w:rsidRPr="003F2E71" w:rsidRDefault="00A266F8" w:rsidP="008B09E9">
            <w:pPr>
              <w:jc w:val="center"/>
              <w:rPr>
                <w:b/>
                <w:bCs/>
              </w:rPr>
            </w:pPr>
            <w:r w:rsidRPr="003F2E71">
              <w:rPr>
                <w:b/>
                <w:bCs/>
              </w:rPr>
              <w:t>2017</w:t>
            </w:r>
          </w:p>
        </w:tc>
        <w:tc>
          <w:tcPr>
            <w:tcW w:w="2551" w:type="dxa"/>
          </w:tcPr>
          <w:p w14:paraId="39C19FA2" w14:textId="3ADDF149" w:rsidR="00A266F8" w:rsidRDefault="00A266F8" w:rsidP="008B09E9">
            <w:pPr>
              <w:jc w:val="center"/>
            </w:pPr>
            <w:r>
              <w:t>6,6</w:t>
            </w:r>
          </w:p>
        </w:tc>
        <w:tc>
          <w:tcPr>
            <w:tcW w:w="2551" w:type="dxa"/>
          </w:tcPr>
          <w:p w14:paraId="5415D886" w14:textId="7D04C548" w:rsidR="00A266F8" w:rsidRDefault="00A01BEF" w:rsidP="008B09E9">
            <w:pPr>
              <w:jc w:val="center"/>
            </w:pPr>
            <w:r>
              <w:t>3,0</w:t>
            </w:r>
          </w:p>
        </w:tc>
        <w:tc>
          <w:tcPr>
            <w:tcW w:w="2551" w:type="dxa"/>
          </w:tcPr>
          <w:p w14:paraId="6520823D" w14:textId="58D190F9" w:rsidR="00A266F8" w:rsidRDefault="00A01BEF" w:rsidP="008B09E9">
            <w:pPr>
              <w:jc w:val="center"/>
            </w:pPr>
            <w:r>
              <w:t>9,6</w:t>
            </w:r>
          </w:p>
        </w:tc>
      </w:tr>
      <w:tr w:rsidR="00A266F8" w14:paraId="560CB87E" w14:textId="77777777" w:rsidTr="003F2E71">
        <w:trPr>
          <w:jc w:val="center"/>
        </w:trPr>
        <w:tc>
          <w:tcPr>
            <w:tcW w:w="1134" w:type="dxa"/>
          </w:tcPr>
          <w:p w14:paraId="35DEB2F5" w14:textId="17B93712" w:rsidR="00A266F8" w:rsidRPr="003F2E71" w:rsidRDefault="00A266F8" w:rsidP="008B09E9">
            <w:pPr>
              <w:jc w:val="center"/>
              <w:rPr>
                <w:b/>
                <w:bCs/>
              </w:rPr>
            </w:pPr>
            <w:r w:rsidRPr="003F2E71">
              <w:rPr>
                <w:b/>
                <w:bCs/>
              </w:rPr>
              <w:t>2018</w:t>
            </w:r>
          </w:p>
        </w:tc>
        <w:tc>
          <w:tcPr>
            <w:tcW w:w="2551" w:type="dxa"/>
          </w:tcPr>
          <w:p w14:paraId="3B843766" w14:textId="60E298E6" w:rsidR="00A266F8" w:rsidRDefault="008B590C" w:rsidP="008B09E9">
            <w:pPr>
              <w:jc w:val="center"/>
            </w:pPr>
            <w:r>
              <w:t>7,0</w:t>
            </w:r>
          </w:p>
        </w:tc>
        <w:tc>
          <w:tcPr>
            <w:tcW w:w="2551" w:type="dxa"/>
          </w:tcPr>
          <w:p w14:paraId="5A4E0817" w14:textId="2F9997E7" w:rsidR="00A266F8" w:rsidRDefault="00A01BEF" w:rsidP="008B09E9">
            <w:pPr>
              <w:jc w:val="center"/>
            </w:pPr>
            <w:r>
              <w:t>2,8</w:t>
            </w:r>
          </w:p>
        </w:tc>
        <w:tc>
          <w:tcPr>
            <w:tcW w:w="2551" w:type="dxa"/>
          </w:tcPr>
          <w:p w14:paraId="7E99317E" w14:textId="6D3792DF" w:rsidR="00A266F8" w:rsidRDefault="00A01BEF" w:rsidP="008B09E9">
            <w:pPr>
              <w:jc w:val="center"/>
            </w:pPr>
            <w:r>
              <w:t>9,</w:t>
            </w:r>
            <w:r w:rsidR="009D0142">
              <w:t>8</w:t>
            </w:r>
          </w:p>
        </w:tc>
      </w:tr>
      <w:tr w:rsidR="00A266F8" w14:paraId="5C4876DF" w14:textId="77777777" w:rsidTr="003F2E71">
        <w:trPr>
          <w:jc w:val="center"/>
        </w:trPr>
        <w:tc>
          <w:tcPr>
            <w:tcW w:w="1134" w:type="dxa"/>
          </w:tcPr>
          <w:p w14:paraId="1F3670B9" w14:textId="7E315E4C" w:rsidR="00A266F8" w:rsidRPr="003F2E71" w:rsidRDefault="00A266F8" w:rsidP="008B09E9">
            <w:pPr>
              <w:jc w:val="center"/>
              <w:rPr>
                <w:b/>
                <w:bCs/>
              </w:rPr>
            </w:pPr>
            <w:r w:rsidRPr="003F2E71">
              <w:rPr>
                <w:b/>
                <w:bCs/>
              </w:rPr>
              <w:t>2019</w:t>
            </w:r>
          </w:p>
        </w:tc>
        <w:tc>
          <w:tcPr>
            <w:tcW w:w="2551" w:type="dxa"/>
          </w:tcPr>
          <w:p w14:paraId="068F1E1C" w14:textId="7AE76807" w:rsidR="00A266F8" w:rsidRDefault="008B590C" w:rsidP="008B09E9">
            <w:pPr>
              <w:jc w:val="center"/>
            </w:pPr>
            <w:r>
              <w:t>7,8</w:t>
            </w:r>
          </w:p>
        </w:tc>
        <w:tc>
          <w:tcPr>
            <w:tcW w:w="2551" w:type="dxa"/>
          </w:tcPr>
          <w:p w14:paraId="3B82D4CA" w14:textId="09A89067" w:rsidR="00A266F8" w:rsidRDefault="00A01BEF" w:rsidP="008B09E9">
            <w:pPr>
              <w:jc w:val="center"/>
            </w:pPr>
            <w:r>
              <w:t>2,6</w:t>
            </w:r>
          </w:p>
        </w:tc>
        <w:tc>
          <w:tcPr>
            <w:tcW w:w="2551" w:type="dxa"/>
          </w:tcPr>
          <w:p w14:paraId="252A2133" w14:textId="2DB3BCAF" w:rsidR="00A266F8" w:rsidRDefault="009D0142" w:rsidP="008B09E9">
            <w:pPr>
              <w:jc w:val="center"/>
            </w:pPr>
            <w:r>
              <w:t>10,4</w:t>
            </w:r>
          </w:p>
        </w:tc>
      </w:tr>
    </w:tbl>
    <w:bookmarkEnd w:id="1"/>
    <w:p w14:paraId="191C601E" w14:textId="5D19192F" w:rsidR="00275C18" w:rsidRDefault="00275C18" w:rsidP="003F2E71">
      <w:pPr>
        <w:pStyle w:val="Paragraphedeliste"/>
        <w:numPr>
          <w:ilvl w:val="0"/>
          <w:numId w:val="7"/>
        </w:numPr>
        <w:spacing w:before="240"/>
      </w:pPr>
      <w:r>
        <w:t>+ 7,2 milliards d’euros d’achats de fréquence sur la période. 0,9 en 2010. 0,9 en 2011. 2,6 en 2012. 2,8 en 2015</w:t>
      </w:r>
      <w:r w:rsidR="00427966">
        <w:t> ;</w:t>
      </w:r>
    </w:p>
    <w:p w14:paraId="039132E4" w14:textId="5459E90F" w:rsidR="00275C18" w:rsidRDefault="00275C18" w:rsidP="003F2E71">
      <w:pPr>
        <w:pStyle w:val="Paragraphedeliste"/>
        <w:numPr>
          <w:ilvl w:val="0"/>
          <w:numId w:val="7"/>
        </w:numPr>
      </w:pPr>
      <w:r>
        <w:t xml:space="preserve">+ 2,8 </w:t>
      </w:r>
      <w:r w:rsidRPr="00275C18">
        <w:t xml:space="preserve">milliards d’euros </w:t>
      </w:r>
      <w:r>
        <w:t>en 2020 pour la 5G.</w:t>
      </w:r>
    </w:p>
    <w:p w14:paraId="1900174A" w14:textId="23C40837" w:rsidR="00590D2D" w:rsidRPr="0050392D" w:rsidRDefault="00275C18" w:rsidP="00590D2D">
      <w:pPr>
        <w:rPr>
          <w:color w:val="595959" w:themeColor="text1" w:themeTint="A6"/>
          <w:sz w:val="18"/>
          <w:szCs w:val="18"/>
        </w:rPr>
      </w:pPr>
      <w:r w:rsidRPr="0050392D">
        <w:rPr>
          <w:color w:val="595959" w:themeColor="text1" w:themeTint="A6"/>
          <w:sz w:val="18"/>
          <w:szCs w:val="18"/>
        </w:rPr>
        <w:t>Source : Arcep. (1) Investissement hors achats de fréquences mobiles de tous les opérateurs de services de télécommunications en France.</w:t>
      </w:r>
    </w:p>
    <w:p w14:paraId="7AF4E8E9" w14:textId="174371DA" w:rsidR="00831D71" w:rsidRDefault="00831D71" w:rsidP="00831D71">
      <w:pPr>
        <w:pStyle w:val="Titre2"/>
      </w:pPr>
      <w:r w:rsidRPr="00831D71">
        <w:t>Le champion des investissements privés</w:t>
      </w:r>
    </w:p>
    <w:p w14:paraId="117368E7" w14:textId="56AD2B85" w:rsidR="00831D71" w:rsidRDefault="0080221D" w:rsidP="0080221D">
      <w:r w:rsidRPr="007C3E2A">
        <w:rPr>
          <w:b/>
          <w:bCs/>
        </w:rPr>
        <w:t>Poids des investissements</w:t>
      </w:r>
      <w:r w:rsidRPr="007C3E2A">
        <w:rPr>
          <w:b/>
          <w:bCs/>
          <w:vertAlign w:val="superscript"/>
        </w:rPr>
        <w:t>1</w:t>
      </w:r>
      <w:r w:rsidRPr="007C3E2A">
        <w:rPr>
          <w:b/>
          <w:bCs/>
        </w:rPr>
        <w:t xml:space="preserve"> du secteur télécoms vs autres secteurs. </w:t>
      </w:r>
      <w:r>
        <w:t>France, 2015-2019, moyenne annuelle sur 5 ans, milliards d’euros</w:t>
      </w:r>
      <w:r w:rsidR="007C3E2A">
        <w:t>.</w:t>
      </w:r>
    </w:p>
    <w:p w14:paraId="4C6B7551" w14:textId="0EC9F07E" w:rsidR="007C3E2A" w:rsidRDefault="00C321F5" w:rsidP="00C321F5">
      <w:pPr>
        <w:pStyle w:val="Paragraphedeliste"/>
        <w:numPr>
          <w:ilvl w:val="0"/>
          <w:numId w:val="8"/>
        </w:numPr>
      </w:pPr>
      <w:r>
        <w:t>Autoroutes : 1,5</w:t>
      </w:r>
      <w:r w:rsidR="00427966">
        <w:t> ;</w:t>
      </w:r>
    </w:p>
    <w:p w14:paraId="7EB7D329" w14:textId="6870E5D0" w:rsidR="00C321F5" w:rsidRDefault="00C321F5" w:rsidP="00C321F5">
      <w:pPr>
        <w:pStyle w:val="Paragraphedeliste"/>
        <w:numPr>
          <w:ilvl w:val="0"/>
          <w:numId w:val="8"/>
        </w:numPr>
      </w:pPr>
      <w:r>
        <w:t>Réseau ferré : 5,0</w:t>
      </w:r>
      <w:r w:rsidR="00427966">
        <w:t> ;</w:t>
      </w:r>
    </w:p>
    <w:p w14:paraId="7A6581BF" w14:textId="57C8AB51" w:rsidR="00C321F5" w:rsidRDefault="00C321F5" w:rsidP="00C321F5">
      <w:pPr>
        <w:pStyle w:val="Paragraphedeliste"/>
        <w:numPr>
          <w:ilvl w:val="0"/>
          <w:numId w:val="8"/>
        </w:numPr>
      </w:pPr>
      <w:r>
        <w:t>Transport et distribution d’électricité : 5,9</w:t>
      </w:r>
      <w:r w:rsidR="00427966">
        <w:t> ;</w:t>
      </w:r>
    </w:p>
    <w:p w14:paraId="0E09DAE6" w14:textId="486121CF" w:rsidR="00C321F5" w:rsidRDefault="00C321F5" w:rsidP="00C321F5">
      <w:pPr>
        <w:pStyle w:val="Paragraphedeliste"/>
        <w:numPr>
          <w:ilvl w:val="0"/>
          <w:numId w:val="8"/>
        </w:numPr>
      </w:pPr>
      <w:r>
        <w:t>Télécoms : 9,2</w:t>
      </w:r>
      <w:r w:rsidR="00427966">
        <w:t>.</w:t>
      </w:r>
    </w:p>
    <w:p w14:paraId="1CA11094" w14:textId="4ECA47A8" w:rsidR="00C321F5" w:rsidRDefault="0094703F" w:rsidP="0094703F">
      <w:r>
        <w:t>10,4 milliards en 2019. Pour la première fois, en 2019, les investissements dans les infrastructures télécoms ont franchi le seuil des 10 milliards d’euros.</w:t>
      </w:r>
    </w:p>
    <w:p w14:paraId="6B3AA420" w14:textId="2D3FE843" w:rsidR="0094703F" w:rsidRDefault="006769D3" w:rsidP="006769D3">
      <w:r>
        <w:t>Équivalents aux investissements suivants, chaque année :</w:t>
      </w:r>
    </w:p>
    <w:p w14:paraId="07BE2118" w14:textId="2E6369AA" w:rsidR="006769D3" w:rsidRDefault="006769D3" w:rsidP="006769D3">
      <w:pPr>
        <w:pStyle w:val="Paragraphedeliste"/>
        <w:numPr>
          <w:ilvl w:val="0"/>
          <w:numId w:val="9"/>
        </w:numPr>
      </w:pPr>
      <w:r>
        <w:t>2 334 éoliennes (</w:t>
      </w:r>
      <w:r w:rsidR="00486B07">
        <w:t>multiplication par deux</w:t>
      </w:r>
      <w:r>
        <w:t xml:space="preserve"> v</w:t>
      </w:r>
      <w:r w:rsidR="00486B07">
        <w:t xml:space="preserve">ersus </w:t>
      </w:r>
      <w:r>
        <w:t>parc actuel) ;</w:t>
      </w:r>
    </w:p>
    <w:p w14:paraId="55A4923F" w14:textId="4B7C4ABA" w:rsidR="006769D3" w:rsidRDefault="006769D3" w:rsidP="006769D3">
      <w:pPr>
        <w:pStyle w:val="Paragraphedeliste"/>
        <w:numPr>
          <w:ilvl w:val="0"/>
          <w:numId w:val="9"/>
        </w:numPr>
      </w:pPr>
      <w:r>
        <w:t>89 Airbus A 320 N</w:t>
      </w:r>
      <w:r w:rsidR="00486B07">
        <w:t>é</w:t>
      </w:r>
      <w:r>
        <w:t>o (prix catalogue) ;</w:t>
      </w:r>
    </w:p>
    <w:p w14:paraId="41A53FB6" w14:textId="30F574BD" w:rsidR="006769D3" w:rsidRDefault="006769D3" w:rsidP="006769D3">
      <w:pPr>
        <w:pStyle w:val="Paragraphedeliste"/>
        <w:numPr>
          <w:ilvl w:val="0"/>
          <w:numId w:val="9"/>
        </w:numPr>
      </w:pPr>
      <w:r>
        <w:t>6 lignes Charles de Gaulle Express (soit un quart du Grand Paris Express) ;</w:t>
      </w:r>
    </w:p>
    <w:p w14:paraId="011D792B" w14:textId="538C5285" w:rsidR="006769D3" w:rsidRDefault="006769D3" w:rsidP="006769D3">
      <w:pPr>
        <w:pStyle w:val="Paragraphedeliste"/>
        <w:numPr>
          <w:ilvl w:val="0"/>
          <w:numId w:val="9"/>
        </w:numPr>
      </w:pPr>
      <w:r>
        <w:t>684 collèges.</w:t>
      </w:r>
    </w:p>
    <w:p w14:paraId="1A603A1E" w14:textId="2DA4E056" w:rsidR="00007EB7" w:rsidRPr="0050392D" w:rsidRDefault="00007EB7" w:rsidP="00C44817">
      <w:pPr>
        <w:rPr>
          <w:color w:val="595959" w:themeColor="text1" w:themeTint="A6"/>
          <w:sz w:val="18"/>
          <w:szCs w:val="18"/>
        </w:rPr>
      </w:pPr>
      <w:r w:rsidRPr="0050392D">
        <w:rPr>
          <w:color w:val="595959" w:themeColor="text1" w:themeTint="A6"/>
          <w:sz w:val="18"/>
          <w:szCs w:val="18"/>
        </w:rPr>
        <w:t>Source : Entreprises, Recherches documentaires, analyse Arthur D. Little. (1) Télécoms : chiffres Arcep (hors achat de fréquences) ; Électricité et E</w:t>
      </w:r>
      <w:r w:rsidR="00C44817" w:rsidRPr="0050392D">
        <w:rPr>
          <w:color w:val="595959" w:themeColor="text1" w:themeTint="A6"/>
          <w:sz w:val="18"/>
          <w:szCs w:val="18"/>
        </w:rPr>
        <w:t>nedis</w:t>
      </w:r>
      <w:r w:rsidRPr="0050392D">
        <w:rPr>
          <w:color w:val="595959" w:themeColor="text1" w:themeTint="A6"/>
          <w:sz w:val="18"/>
          <w:szCs w:val="18"/>
        </w:rPr>
        <w:t xml:space="preserve"> ; </w:t>
      </w:r>
      <w:r w:rsidR="00112466" w:rsidRPr="0050392D">
        <w:rPr>
          <w:color w:val="595959" w:themeColor="text1" w:themeTint="A6"/>
          <w:sz w:val="18"/>
          <w:szCs w:val="18"/>
        </w:rPr>
        <w:t>Réseau Ferré de France (</w:t>
      </w:r>
      <w:r w:rsidRPr="0050392D">
        <w:rPr>
          <w:color w:val="595959" w:themeColor="text1" w:themeTint="A6"/>
          <w:sz w:val="18"/>
          <w:szCs w:val="18"/>
        </w:rPr>
        <w:t>RFF</w:t>
      </w:r>
      <w:r w:rsidR="00112466" w:rsidRPr="0050392D">
        <w:rPr>
          <w:color w:val="595959" w:themeColor="text1" w:themeTint="A6"/>
          <w:sz w:val="18"/>
          <w:szCs w:val="18"/>
        </w:rPr>
        <w:t>)</w:t>
      </w:r>
      <w:r w:rsidRPr="0050392D">
        <w:rPr>
          <w:color w:val="595959" w:themeColor="text1" w:themeTint="A6"/>
          <w:sz w:val="18"/>
          <w:szCs w:val="18"/>
        </w:rPr>
        <w:t xml:space="preserve"> ; Autoroutes : </w:t>
      </w:r>
      <w:r w:rsidR="00C44817" w:rsidRPr="0050392D">
        <w:rPr>
          <w:color w:val="595959" w:themeColor="text1" w:themeTint="A6"/>
          <w:sz w:val="18"/>
          <w:szCs w:val="18"/>
        </w:rPr>
        <w:t>Association des Sociétés Françaises d'Autoroutes ASFA</w:t>
      </w:r>
      <w:r w:rsidRPr="0050392D">
        <w:rPr>
          <w:color w:val="595959" w:themeColor="text1" w:themeTint="A6"/>
          <w:sz w:val="18"/>
          <w:szCs w:val="18"/>
        </w:rPr>
        <w:t xml:space="preserve"> (</w:t>
      </w:r>
      <w:r w:rsidR="007C60DC" w:rsidRPr="0050392D">
        <w:rPr>
          <w:color w:val="595959" w:themeColor="text1" w:themeTint="A6"/>
          <w:sz w:val="18"/>
          <w:szCs w:val="18"/>
        </w:rPr>
        <w:t xml:space="preserve">Société des autoroutes du Nord et de l'Est de la France </w:t>
      </w:r>
      <w:proofErr w:type="spellStart"/>
      <w:r w:rsidRPr="0050392D">
        <w:rPr>
          <w:color w:val="595959" w:themeColor="text1" w:themeTint="A6"/>
          <w:sz w:val="18"/>
          <w:szCs w:val="18"/>
        </w:rPr>
        <w:t>Sanef</w:t>
      </w:r>
      <w:proofErr w:type="spellEnd"/>
      <w:r w:rsidRPr="0050392D">
        <w:rPr>
          <w:color w:val="595959" w:themeColor="text1" w:themeTint="A6"/>
          <w:sz w:val="18"/>
          <w:szCs w:val="18"/>
        </w:rPr>
        <w:t xml:space="preserve">, </w:t>
      </w:r>
      <w:r w:rsidR="005D106F" w:rsidRPr="0050392D">
        <w:rPr>
          <w:color w:val="595959" w:themeColor="text1" w:themeTint="A6"/>
          <w:sz w:val="18"/>
          <w:szCs w:val="18"/>
        </w:rPr>
        <w:t xml:space="preserve">Société des autoroutes Paris-Normandie </w:t>
      </w:r>
      <w:r w:rsidRPr="0050392D">
        <w:rPr>
          <w:color w:val="595959" w:themeColor="text1" w:themeTint="A6"/>
          <w:sz w:val="18"/>
          <w:szCs w:val="18"/>
        </w:rPr>
        <w:t xml:space="preserve">SAPN, </w:t>
      </w:r>
      <w:r w:rsidR="005D106F" w:rsidRPr="0050392D">
        <w:rPr>
          <w:color w:val="595959" w:themeColor="text1" w:themeTint="A6"/>
          <w:sz w:val="18"/>
          <w:szCs w:val="18"/>
        </w:rPr>
        <w:t xml:space="preserve">Autoroutes du Sud de la France </w:t>
      </w:r>
      <w:r w:rsidRPr="0050392D">
        <w:rPr>
          <w:color w:val="595959" w:themeColor="text1" w:themeTint="A6"/>
          <w:sz w:val="18"/>
          <w:szCs w:val="18"/>
        </w:rPr>
        <w:t>ASF…).</w:t>
      </w:r>
    </w:p>
    <w:p w14:paraId="065BE85B" w14:textId="01C2A262" w:rsidR="00007EB7" w:rsidRDefault="006D55B9" w:rsidP="0050392D">
      <w:pPr>
        <w:pStyle w:val="Titre2"/>
        <w:spacing w:before="600"/>
      </w:pPr>
      <w:r w:rsidRPr="006D55B9">
        <w:lastRenderedPageBreak/>
        <w:t>Un effort des opérateurs français inédit en Europe</w:t>
      </w:r>
    </w:p>
    <w:p w14:paraId="22DC49E4" w14:textId="4BFDCBF5" w:rsidR="006D55B9" w:rsidRPr="006D55B9" w:rsidRDefault="006D55B9" w:rsidP="002B356F">
      <w:pPr>
        <w:pStyle w:val="Titre3"/>
        <w:spacing w:before="360"/>
      </w:pPr>
      <w:r w:rsidRPr="006D55B9">
        <w:t>Le plus important effort d’investissement</w:t>
      </w:r>
    </w:p>
    <w:p w14:paraId="628660A0" w14:textId="3EF69B69" w:rsidR="006D55B9" w:rsidRDefault="006D55B9" w:rsidP="006D55B9">
      <w:r>
        <w:t>Taux d’effort d’investissement par pays (CAPEX</w:t>
      </w:r>
      <w:r w:rsidRPr="006D55B9">
        <w:rPr>
          <w:vertAlign w:val="superscript"/>
        </w:rPr>
        <w:t>1</w:t>
      </w:r>
      <w:r>
        <w:t>/Chiffre d’affaires</w:t>
      </w:r>
      <w:r w:rsidRPr="006D55B9">
        <w:rPr>
          <w:vertAlign w:val="superscript"/>
        </w:rPr>
        <w:t>1</w:t>
      </w:r>
      <w:r>
        <w:t>), Royaume-Uni, France, Espagne, Allemagne, Italie, 2019.</w:t>
      </w:r>
    </w:p>
    <w:tbl>
      <w:tblPr>
        <w:tblStyle w:val="Grilledutableau"/>
        <w:tblW w:w="0" w:type="auto"/>
        <w:jc w:val="center"/>
        <w:tblLook w:val="04A0" w:firstRow="1" w:lastRow="0" w:firstColumn="1" w:lastColumn="0" w:noHBand="0" w:noVBand="1"/>
      </w:tblPr>
      <w:tblGrid>
        <w:gridCol w:w="2551"/>
        <w:gridCol w:w="2551"/>
        <w:gridCol w:w="2551"/>
      </w:tblGrid>
      <w:tr w:rsidR="006D55B9" w14:paraId="797E6A81" w14:textId="77777777" w:rsidTr="002B356F">
        <w:trPr>
          <w:trHeight w:val="567"/>
          <w:jc w:val="center"/>
        </w:trPr>
        <w:tc>
          <w:tcPr>
            <w:tcW w:w="2551" w:type="dxa"/>
            <w:shd w:val="clear" w:color="auto" w:fill="EBF0F5"/>
            <w:vAlign w:val="center"/>
          </w:tcPr>
          <w:p w14:paraId="33B98CB3" w14:textId="03D6344F" w:rsidR="006D55B9" w:rsidRPr="003F2E71" w:rsidRDefault="006D55B9" w:rsidP="002B356F">
            <w:pPr>
              <w:jc w:val="center"/>
              <w:rPr>
                <w:b/>
                <w:bCs/>
              </w:rPr>
            </w:pPr>
            <w:bookmarkStart w:id="2" w:name="_Hlk58922438"/>
            <w:r>
              <w:rPr>
                <w:b/>
                <w:bCs/>
              </w:rPr>
              <w:t>Pays</w:t>
            </w:r>
          </w:p>
        </w:tc>
        <w:tc>
          <w:tcPr>
            <w:tcW w:w="2551" w:type="dxa"/>
            <w:shd w:val="clear" w:color="auto" w:fill="EBF0F5"/>
            <w:vAlign w:val="center"/>
          </w:tcPr>
          <w:p w14:paraId="70576DF7" w14:textId="4E4A1C91" w:rsidR="006D55B9" w:rsidRPr="003F2E71" w:rsidRDefault="00626081" w:rsidP="002B356F">
            <w:pPr>
              <w:jc w:val="center"/>
              <w:rPr>
                <w:b/>
                <w:bCs/>
              </w:rPr>
            </w:pPr>
            <w:r>
              <w:rPr>
                <w:b/>
                <w:bCs/>
              </w:rPr>
              <w:t>CAPEX/Habitant</w:t>
            </w:r>
          </w:p>
        </w:tc>
        <w:tc>
          <w:tcPr>
            <w:tcW w:w="2551" w:type="dxa"/>
            <w:shd w:val="clear" w:color="auto" w:fill="EBF0F5"/>
            <w:vAlign w:val="center"/>
          </w:tcPr>
          <w:p w14:paraId="65228CBF" w14:textId="37732189" w:rsidR="006D55B9" w:rsidRPr="003F2E71" w:rsidRDefault="00626081" w:rsidP="002B356F">
            <w:pPr>
              <w:jc w:val="center"/>
              <w:rPr>
                <w:b/>
                <w:bCs/>
              </w:rPr>
            </w:pPr>
            <w:r>
              <w:rPr>
                <w:b/>
                <w:bCs/>
              </w:rPr>
              <w:t>Pourcentage</w:t>
            </w:r>
          </w:p>
        </w:tc>
      </w:tr>
      <w:tr w:rsidR="006D55B9" w14:paraId="20D069DA" w14:textId="77777777" w:rsidTr="002B356F">
        <w:trPr>
          <w:trHeight w:val="397"/>
          <w:jc w:val="center"/>
        </w:trPr>
        <w:tc>
          <w:tcPr>
            <w:tcW w:w="2551" w:type="dxa"/>
            <w:vAlign w:val="center"/>
          </w:tcPr>
          <w:p w14:paraId="0D54C284" w14:textId="76EDE808" w:rsidR="006D55B9" w:rsidRDefault="005A035C" w:rsidP="002B356F">
            <w:pPr>
              <w:jc w:val="center"/>
            </w:pPr>
            <w:r>
              <w:t>France</w:t>
            </w:r>
          </w:p>
        </w:tc>
        <w:tc>
          <w:tcPr>
            <w:tcW w:w="2551" w:type="dxa"/>
            <w:vAlign w:val="center"/>
          </w:tcPr>
          <w:p w14:paraId="07B6EF11" w14:textId="2CD4352B" w:rsidR="006D55B9" w:rsidRDefault="005A035C" w:rsidP="002B356F">
            <w:pPr>
              <w:jc w:val="center"/>
            </w:pPr>
            <w:r>
              <w:t>133 €/hab.</w:t>
            </w:r>
          </w:p>
        </w:tc>
        <w:tc>
          <w:tcPr>
            <w:tcW w:w="2551" w:type="dxa"/>
            <w:vAlign w:val="center"/>
          </w:tcPr>
          <w:p w14:paraId="0FFE109F" w14:textId="701EA066" w:rsidR="006D55B9" w:rsidRDefault="00E37754" w:rsidP="002B356F">
            <w:pPr>
              <w:jc w:val="center"/>
            </w:pPr>
            <w:r>
              <w:t>22 %</w:t>
            </w:r>
          </w:p>
        </w:tc>
      </w:tr>
      <w:tr w:rsidR="005A035C" w14:paraId="05CEC94A" w14:textId="77777777" w:rsidTr="002B356F">
        <w:trPr>
          <w:trHeight w:val="397"/>
          <w:jc w:val="center"/>
        </w:trPr>
        <w:tc>
          <w:tcPr>
            <w:tcW w:w="2551" w:type="dxa"/>
            <w:vAlign w:val="center"/>
          </w:tcPr>
          <w:p w14:paraId="2EE56D59" w14:textId="2B73CEAD" w:rsidR="005A035C" w:rsidRDefault="005A035C" w:rsidP="002B356F">
            <w:pPr>
              <w:jc w:val="center"/>
            </w:pPr>
            <w:r>
              <w:t>Royaume-Uni</w:t>
            </w:r>
          </w:p>
        </w:tc>
        <w:tc>
          <w:tcPr>
            <w:tcW w:w="2551" w:type="dxa"/>
            <w:vAlign w:val="center"/>
          </w:tcPr>
          <w:p w14:paraId="32A0B564" w14:textId="162CDF9A" w:rsidR="005A035C" w:rsidRDefault="005A035C" w:rsidP="002B356F">
            <w:pPr>
              <w:jc w:val="center"/>
            </w:pPr>
            <w:r>
              <w:t>121 €/hab.</w:t>
            </w:r>
          </w:p>
        </w:tc>
        <w:tc>
          <w:tcPr>
            <w:tcW w:w="2551" w:type="dxa"/>
            <w:vAlign w:val="center"/>
          </w:tcPr>
          <w:p w14:paraId="5A5B90CC" w14:textId="478F60A3" w:rsidR="005A035C" w:rsidRDefault="00E37754" w:rsidP="002B356F">
            <w:pPr>
              <w:jc w:val="center"/>
            </w:pPr>
            <w:r>
              <w:t>12 %</w:t>
            </w:r>
          </w:p>
        </w:tc>
      </w:tr>
      <w:tr w:rsidR="005A035C" w14:paraId="590AEE51" w14:textId="77777777" w:rsidTr="002B356F">
        <w:trPr>
          <w:trHeight w:val="397"/>
          <w:jc w:val="center"/>
        </w:trPr>
        <w:tc>
          <w:tcPr>
            <w:tcW w:w="2551" w:type="dxa"/>
            <w:vAlign w:val="center"/>
          </w:tcPr>
          <w:p w14:paraId="2C2B2635" w14:textId="1E2AF9B0" w:rsidR="005A035C" w:rsidRDefault="005A035C" w:rsidP="002B356F">
            <w:pPr>
              <w:jc w:val="center"/>
            </w:pPr>
            <w:r>
              <w:t>Allemagne</w:t>
            </w:r>
          </w:p>
        </w:tc>
        <w:tc>
          <w:tcPr>
            <w:tcW w:w="2551" w:type="dxa"/>
            <w:vAlign w:val="center"/>
          </w:tcPr>
          <w:p w14:paraId="0E658371" w14:textId="21180530" w:rsidR="005A035C" w:rsidRDefault="005A035C" w:rsidP="002B356F">
            <w:pPr>
              <w:jc w:val="center"/>
            </w:pPr>
            <w:r>
              <w:t>107 €/hab.</w:t>
            </w:r>
          </w:p>
        </w:tc>
        <w:tc>
          <w:tcPr>
            <w:tcW w:w="2551" w:type="dxa"/>
            <w:vAlign w:val="center"/>
          </w:tcPr>
          <w:p w14:paraId="677044C4" w14:textId="2FDB5C47" w:rsidR="005A035C" w:rsidRDefault="00E37754" w:rsidP="002B356F">
            <w:pPr>
              <w:jc w:val="center"/>
            </w:pPr>
            <w:r>
              <w:t>19 %</w:t>
            </w:r>
          </w:p>
        </w:tc>
      </w:tr>
      <w:tr w:rsidR="005A035C" w14:paraId="09D1ED9A" w14:textId="77777777" w:rsidTr="002B356F">
        <w:trPr>
          <w:trHeight w:val="397"/>
          <w:jc w:val="center"/>
        </w:trPr>
        <w:tc>
          <w:tcPr>
            <w:tcW w:w="2551" w:type="dxa"/>
            <w:vAlign w:val="center"/>
          </w:tcPr>
          <w:p w14:paraId="354BD1A7" w14:textId="25460BA6" w:rsidR="005A035C" w:rsidRDefault="005A035C" w:rsidP="002B356F">
            <w:pPr>
              <w:jc w:val="center"/>
            </w:pPr>
            <w:r>
              <w:t>Italie</w:t>
            </w:r>
          </w:p>
        </w:tc>
        <w:tc>
          <w:tcPr>
            <w:tcW w:w="2551" w:type="dxa"/>
            <w:vAlign w:val="center"/>
          </w:tcPr>
          <w:p w14:paraId="38B6C843" w14:textId="77776EE2" w:rsidR="005A035C" w:rsidRDefault="005A035C" w:rsidP="002B356F">
            <w:pPr>
              <w:jc w:val="center"/>
            </w:pPr>
            <w:r>
              <w:t>90 €/hab.</w:t>
            </w:r>
          </w:p>
        </w:tc>
        <w:tc>
          <w:tcPr>
            <w:tcW w:w="2551" w:type="dxa"/>
            <w:vAlign w:val="center"/>
          </w:tcPr>
          <w:p w14:paraId="572D8EF3" w14:textId="3B44F59C" w:rsidR="005A035C" w:rsidRDefault="00E37754" w:rsidP="002B356F">
            <w:pPr>
              <w:jc w:val="center"/>
            </w:pPr>
            <w:r>
              <w:t>20 %</w:t>
            </w:r>
          </w:p>
        </w:tc>
      </w:tr>
      <w:tr w:rsidR="005A035C" w14:paraId="7710DE74" w14:textId="77777777" w:rsidTr="002B356F">
        <w:trPr>
          <w:trHeight w:val="397"/>
          <w:jc w:val="center"/>
        </w:trPr>
        <w:tc>
          <w:tcPr>
            <w:tcW w:w="2551" w:type="dxa"/>
            <w:vAlign w:val="center"/>
          </w:tcPr>
          <w:p w14:paraId="4B868000" w14:textId="2AC08B39" w:rsidR="005A035C" w:rsidRDefault="005A035C" w:rsidP="002B356F">
            <w:pPr>
              <w:jc w:val="center"/>
            </w:pPr>
            <w:r>
              <w:t>Espagne</w:t>
            </w:r>
          </w:p>
        </w:tc>
        <w:tc>
          <w:tcPr>
            <w:tcW w:w="2551" w:type="dxa"/>
            <w:vAlign w:val="center"/>
          </w:tcPr>
          <w:p w14:paraId="01E962E9" w14:textId="19E36D90" w:rsidR="005A035C" w:rsidRDefault="005A035C" w:rsidP="002B356F">
            <w:pPr>
              <w:jc w:val="center"/>
            </w:pPr>
            <w:r>
              <w:t>75 €/hab.</w:t>
            </w:r>
          </w:p>
        </w:tc>
        <w:tc>
          <w:tcPr>
            <w:tcW w:w="2551" w:type="dxa"/>
            <w:vAlign w:val="center"/>
          </w:tcPr>
          <w:p w14:paraId="71842F20" w14:textId="53A03EB5" w:rsidR="005A035C" w:rsidRDefault="00E37754" w:rsidP="002B356F">
            <w:pPr>
              <w:jc w:val="center"/>
            </w:pPr>
            <w:r>
              <w:t>15 %</w:t>
            </w:r>
          </w:p>
        </w:tc>
      </w:tr>
    </w:tbl>
    <w:bookmarkEnd w:id="2"/>
    <w:p w14:paraId="7192DF9F" w14:textId="515AE4CE" w:rsidR="00D91628" w:rsidRDefault="00D91628" w:rsidP="002B356F">
      <w:pPr>
        <w:pStyle w:val="Titre3"/>
        <w:spacing w:before="720"/>
      </w:pPr>
      <w:r>
        <w:t>Un rythme de déploiement de la fibre unique en Europe</w:t>
      </w:r>
      <w:r w:rsidR="00427966">
        <w:t>.</w:t>
      </w:r>
    </w:p>
    <w:p w14:paraId="327BF628" w14:textId="66674B9B" w:rsidR="00831D71" w:rsidRDefault="00D91628" w:rsidP="00D91628">
      <w:pPr>
        <w:spacing w:before="240"/>
      </w:pPr>
      <w:r>
        <w:t xml:space="preserve">Nombre de locaux raccordés en </w:t>
      </w:r>
      <w:proofErr w:type="spellStart"/>
      <w:r>
        <w:t>FttH</w:t>
      </w:r>
      <w:proofErr w:type="spellEnd"/>
      <w:r>
        <w:t xml:space="preserve">/B </w:t>
      </w:r>
      <w:r w:rsidR="00162289">
        <w:t>(</w:t>
      </w:r>
      <w:proofErr w:type="spellStart"/>
      <w:r w:rsidR="00162289" w:rsidRPr="00162289">
        <w:rPr>
          <w:i/>
          <w:iCs/>
        </w:rPr>
        <w:t>Fiber</w:t>
      </w:r>
      <w:proofErr w:type="spellEnd"/>
      <w:r w:rsidR="00162289" w:rsidRPr="00162289">
        <w:rPr>
          <w:i/>
          <w:iCs/>
        </w:rPr>
        <w:t xml:space="preserve"> To The Building</w:t>
      </w:r>
      <w:r w:rsidR="00162289" w:rsidRPr="00162289">
        <w:t xml:space="preserve"> – Fibre jusqu’au bâtiment</w:t>
      </w:r>
      <w:r w:rsidR="00162289">
        <w:t xml:space="preserve">) </w:t>
      </w:r>
      <w:r>
        <w:t>sur 12 mois</w:t>
      </w:r>
      <w:r w:rsidRPr="00D91628">
        <w:rPr>
          <w:vertAlign w:val="superscript"/>
        </w:rPr>
        <w:t>1</w:t>
      </w:r>
      <w:r>
        <w:t xml:space="preserve"> Sélection de pays européens, septembre 2018 - septembre 2019, </w:t>
      </w:r>
      <w:r w:rsidR="00162289">
        <w:t xml:space="preserve">en </w:t>
      </w:r>
      <w:r>
        <w:t>millions de locaux.</w:t>
      </w:r>
    </w:p>
    <w:tbl>
      <w:tblPr>
        <w:tblStyle w:val="Grilledutableau"/>
        <w:tblW w:w="0" w:type="auto"/>
        <w:jc w:val="center"/>
        <w:tblLook w:val="04A0" w:firstRow="1" w:lastRow="0" w:firstColumn="1" w:lastColumn="0" w:noHBand="0" w:noVBand="1"/>
      </w:tblPr>
      <w:tblGrid>
        <w:gridCol w:w="2551"/>
        <w:gridCol w:w="2551"/>
        <w:gridCol w:w="2551"/>
      </w:tblGrid>
      <w:tr w:rsidR="00162289" w14:paraId="4B047BB6" w14:textId="77777777" w:rsidTr="002B356F">
        <w:trPr>
          <w:trHeight w:val="567"/>
          <w:jc w:val="center"/>
        </w:trPr>
        <w:tc>
          <w:tcPr>
            <w:tcW w:w="2551" w:type="dxa"/>
            <w:shd w:val="clear" w:color="auto" w:fill="EBF0F5"/>
            <w:vAlign w:val="center"/>
          </w:tcPr>
          <w:p w14:paraId="576B8E38" w14:textId="77777777" w:rsidR="00162289" w:rsidRPr="003F2E71" w:rsidRDefault="00162289" w:rsidP="002B356F">
            <w:pPr>
              <w:jc w:val="center"/>
              <w:rPr>
                <w:b/>
                <w:bCs/>
              </w:rPr>
            </w:pPr>
            <w:bookmarkStart w:id="3" w:name="_Hlk58923135"/>
            <w:r>
              <w:rPr>
                <w:b/>
                <w:bCs/>
              </w:rPr>
              <w:t>Pays</w:t>
            </w:r>
          </w:p>
        </w:tc>
        <w:tc>
          <w:tcPr>
            <w:tcW w:w="2551" w:type="dxa"/>
            <w:shd w:val="clear" w:color="auto" w:fill="EBF0F5"/>
            <w:vAlign w:val="center"/>
          </w:tcPr>
          <w:p w14:paraId="543BCCB0" w14:textId="4A752F02" w:rsidR="00162289" w:rsidRPr="003F2E71" w:rsidRDefault="00162289" w:rsidP="002B356F">
            <w:pPr>
              <w:jc w:val="center"/>
              <w:rPr>
                <w:b/>
                <w:bCs/>
              </w:rPr>
            </w:pPr>
            <w:r>
              <w:rPr>
                <w:b/>
                <w:bCs/>
              </w:rPr>
              <w:t>En % des foyers</w:t>
            </w:r>
          </w:p>
        </w:tc>
        <w:tc>
          <w:tcPr>
            <w:tcW w:w="2551" w:type="dxa"/>
            <w:shd w:val="clear" w:color="auto" w:fill="EBF0F5"/>
            <w:vAlign w:val="center"/>
          </w:tcPr>
          <w:p w14:paraId="15286DAE" w14:textId="509A981F" w:rsidR="00162289" w:rsidRPr="003F2E71" w:rsidRDefault="00162289" w:rsidP="002B356F">
            <w:pPr>
              <w:jc w:val="center"/>
              <w:rPr>
                <w:b/>
                <w:bCs/>
              </w:rPr>
            </w:pPr>
            <w:r>
              <w:rPr>
                <w:b/>
                <w:bCs/>
              </w:rPr>
              <w:t xml:space="preserve">Nombre de locaux </w:t>
            </w:r>
            <w:r>
              <w:rPr>
                <w:b/>
                <w:bCs/>
              </w:rPr>
              <w:br/>
              <w:t>(en millions)</w:t>
            </w:r>
          </w:p>
        </w:tc>
      </w:tr>
      <w:tr w:rsidR="00162289" w14:paraId="1E60E164" w14:textId="77777777" w:rsidTr="002B356F">
        <w:trPr>
          <w:trHeight w:val="397"/>
          <w:jc w:val="center"/>
        </w:trPr>
        <w:tc>
          <w:tcPr>
            <w:tcW w:w="2551" w:type="dxa"/>
            <w:vAlign w:val="center"/>
          </w:tcPr>
          <w:p w14:paraId="060AC43F" w14:textId="77777777" w:rsidR="00162289" w:rsidRDefault="00162289" w:rsidP="002B356F">
            <w:pPr>
              <w:jc w:val="center"/>
            </w:pPr>
            <w:r>
              <w:t>France</w:t>
            </w:r>
          </w:p>
        </w:tc>
        <w:tc>
          <w:tcPr>
            <w:tcW w:w="2551" w:type="dxa"/>
            <w:vAlign w:val="center"/>
          </w:tcPr>
          <w:p w14:paraId="6617512B" w14:textId="3BD7FE02" w:rsidR="00162289" w:rsidRDefault="0010722E" w:rsidP="002B356F">
            <w:pPr>
              <w:jc w:val="center"/>
            </w:pPr>
            <w:r>
              <w:t>12 %</w:t>
            </w:r>
          </w:p>
        </w:tc>
        <w:tc>
          <w:tcPr>
            <w:tcW w:w="2551" w:type="dxa"/>
            <w:vAlign w:val="center"/>
          </w:tcPr>
          <w:p w14:paraId="2791C5E0" w14:textId="1FB3A690" w:rsidR="00162289" w:rsidRDefault="0010722E" w:rsidP="002B356F">
            <w:pPr>
              <w:jc w:val="center"/>
            </w:pPr>
            <w:r>
              <w:t>3,5</w:t>
            </w:r>
          </w:p>
        </w:tc>
      </w:tr>
      <w:tr w:rsidR="00162289" w14:paraId="786F2A7F" w14:textId="77777777" w:rsidTr="002B356F">
        <w:trPr>
          <w:trHeight w:val="397"/>
          <w:jc w:val="center"/>
        </w:trPr>
        <w:tc>
          <w:tcPr>
            <w:tcW w:w="2551" w:type="dxa"/>
            <w:vAlign w:val="center"/>
          </w:tcPr>
          <w:p w14:paraId="05B389F4" w14:textId="02E9E7E8" w:rsidR="00162289" w:rsidRDefault="00162289" w:rsidP="002B356F">
            <w:pPr>
              <w:jc w:val="center"/>
            </w:pPr>
            <w:r>
              <w:t>Italie</w:t>
            </w:r>
          </w:p>
        </w:tc>
        <w:tc>
          <w:tcPr>
            <w:tcW w:w="2551" w:type="dxa"/>
            <w:vAlign w:val="center"/>
          </w:tcPr>
          <w:p w14:paraId="53C01A33" w14:textId="783DFBCC" w:rsidR="00162289" w:rsidRDefault="0010722E" w:rsidP="002B356F">
            <w:pPr>
              <w:jc w:val="center"/>
            </w:pPr>
            <w:r>
              <w:t>2 %</w:t>
            </w:r>
          </w:p>
        </w:tc>
        <w:tc>
          <w:tcPr>
            <w:tcW w:w="2551" w:type="dxa"/>
            <w:vAlign w:val="center"/>
          </w:tcPr>
          <w:p w14:paraId="0BB9F816" w14:textId="2E77411C" w:rsidR="00162289" w:rsidRDefault="0010722E" w:rsidP="002B356F">
            <w:pPr>
              <w:jc w:val="center"/>
            </w:pPr>
            <w:r>
              <w:t>1,9</w:t>
            </w:r>
          </w:p>
        </w:tc>
      </w:tr>
      <w:tr w:rsidR="00162289" w14:paraId="240D6F65" w14:textId="77777777" w:rsidTr="002B356F">
        <w:trPr>
          <w:trHeight w:val="397"/>
          <w:jc w:val="center"/>
        </w:trPr>
        <w:tc>
          <w:tcPr>
            <w:tcW w:w="2551" w:type="dxa"/>
            <w:vAlign w:val="center"/>
          </w:tcPr>
          <w:p w14:paraId="5BBE476A" w14:textId="79C2AADA" w:rsidR="00162289" w:rsidRDefault="00162289" w:rsidP="002B356F">
            <w:pPr>
              <w:jc w:val="center"/>
            </w:pPr>
            <w:r>
              <w:t>Espagne</w:t>
            </w:r>
          </w:p>
        </w:tc>
        <w:tc>
          <w:tcPr>
            <w:tcW w:w="2551" w:type="dxa"/>
            <w:vAlign w:val="center"/>
          </w:tcPr>
          <w:p w14:paraId="2DC6A253" w14:textId="054CDBF8" w:rsidR="00162289" w:rsidRDefault="0010722E" w:rsidP="002B356F">
            <w:pPr>
              <w:jc w:val="center"/>
            </w:pPr>
            <w:r>
              <w:t>8 %</w:t>
            </w:r>
          </w:p>
        </w:tc>
        <w:tc>
          <w:tcPr>
            <w:tcW w:w="2551" w:type="dxa"/>
            <w:vAlign w:val="center"/>
          </w:tcPr>
          <w:p w14:paraId="384E0473" w14:textId="167B0533" w:rsidR="00162289" w:rsidRDefault="0010722E" w:rsidP="002B356F">
            <w:pPr>
              <w:jc w:val="center"/>
            </w:pPr>
            <w:r>
              <w:t>1,5</w:t>
            </w:r>
          </w:p>
        </w:tc>
      </w:tr>
      <w:tr w:rsidR="00162289" w14:paraId="4499C78B" w14:textId="77777777" w:rsidTr="002B356F">
        <w:trPr>
          <w:trHeight w:val="397"/>
          <w:jc w:val="center"/>
        </w:trPr>
        <w:tc>
          <w:tcPr>
            <w:tcW w:w="2551" w:type="dxa"/>
            <w:vAlign w:val="center"/>
          </w:tcPr>
          <w:p w14:paraId="32773156" w14:textId="12999EF2" w:rsidR="00162289" w:rsidRDefault="00162289" w:rsidP="002B356F">
            <w:pPr>
              <w:jc w:val="center"/>
            </w:pPr>
            <w:r>
              <w:t>Royaume-Uni</w:t>
            </w:r>
          </w:p>
        </w:tc>
        <w:tc>
          <w:tcPr>
            <w:tcW w:w="2551" w:type="dxa"/>
            <w:vAlign w:val="center"/>
          </w:tcPr>
          <w:p w14:paraId="21AC7A33" w14:textId="1D927D1B" w:rsidR="00162289" w:rsidRDefault="0010722E" w:rsidP="002B356F">
            <w:pPr>
              <w:jc w:val="center"/>
            </w:pPr>
            <w:r>
              <w:t>7 %</w:t>
            </w:r>
          </w:p>
        </w:tc>
        <w:tc>
          <w:tcPr>
            <w:tcW w:w="2551" w:type="dxa"/>
            <w:vAlign w:val="center"/>
          </w:tcPr>
          <w:p w14:paraId="70D8B4B7" w14:textId="688B565B" w:rsidR="00162289" w:rsidRDefault="0010722E" w:rsidP="002B356F">
            <w:pPr>
              <w:jc w:val="center"/>
            </w:pPr>
            <w:r>
              <w:t>1,4</w:t>
            </w:r>
          </w:p>
        </w:tc>
      </w:tr>
      <w:tr w:rsidR="00162289" w14:paraId="34E3C3C1" w14:textId="77777777" w:rsidTr="002B356F">
        <w:trPr>
          <w:trHeight w:val="397"/>
          <w:jc w:val="center"/>
        </w:trPr>
        <w:tc>
          <w:tcPr>
            <w:tcW w:w="2551" w:type="dxa"/>
            <w:vAlign w:val="center"/>
          </w:tcPr>
          <w:p w14:paraId="5A88EB19" w14:textId="50986AA1" w:rsidR="00162289" w:rsidRDefault="00162289" w:rsidP="002B356F">
            <w:pPr>
              <w:jc w:val="center"/>
            </w:pPr>
            <w:r>
              <w:t>Allemagne</w:t>
            </w:r>
          </w:p>
        </w:tc>
        <w:tc>
          <w:tcPr>
            <w:tcW w:w="2551" w:type="dxa"/>
            <w:vAlign w:val="center"/>
          </w:tcPr>
          <w:p w14:paraId="51B0027C" w14:textId="60B92B8F" w:rsidR="00162289" w:rsidRDefault="0010722E" w:rsidP="002B356F">
            <w:pPr>
              <w:jc w:val="center"/>
            </w:pPr>
            <w:r>
              <w:t>5 %</w:t>
            </w:r>
          </w:p>
        </w:tc>
        <w:tc>
          <w:tcPr>
            <w:tcW w:w="2551" w:type="dxa"/>
            <w:vAlign w:val="center"/>
          </w:tcPr>
          <w:p w14:paraId="685C382B" w14:textId="7BA1B1DA" w:rsidR="00162289" w:rsidRDefault="0010722E" w:rsidP="002B356F">
            <w:pPr>
              <w:jc w:val="center"/>
            </w:pPr>
            <w:r>
              <w:t>1,0</w:t>
            </w:r>
          </w:p>
        </w:tc>
      </w:tr>
    </w:tbl>
    <w:bookmarkEnd w:id="3"/>
    <w:p w14:paraId="42069674" w14:textId="213F8864" w:rsidR="0050392D" w:rsidRDefault="00FF06C7" w:rsidP="002B356F">
      <w:pPr>
        <w:spacing w:before="120"/>
        <w:rPr>
          <w:color w:val="595959" w:themeColor="text1" w:themeTint="A6"/>
          <w:sz w:val="18"/>
          <w:szCs w:val="18"/>
        </w:rPr>
      </w:pPr>
      <w:r w:rsidRPr="0050392D">
        <w:rPr>
          <w:color w:val="595959" w:themeColor="text1" w:themeTint="A6"/>
          <w:sz w:val="18"/>
          <w:szCs w:val="18"/>
        </w:rPr>
        <w:t>Source : Rapport annuel, analyse Arthur D. Little. (1) Chiffre d’affaires, CAPEX</w:t>
      </w:r>
      <w:r w:rsidR="00E1796E" w:rsidRPr="0050392D">
        <w:rPr>
          <w:color w:val="595959" w:themeColor="text1" w:themeTint="A6"/>
          <w:sz w:val="18"/>
          <w:szCs w:val="18"/>
        </w:rPr>
        <w:t xml:space="preserve"> (</w:t>
      </w:r>
      <w:r w:rsidR="006F74D4" w:rsidRPr="002B356F">
        <w:rPr>
          <w:i/>
          <w:iCs/>
          <w:color w:val="595959" w:themeColor="text1" w:themeTint="A6"/>
          <w:sz w:val="18"/>
          <w:szCs w:val="18"/>
        </w:rPr>
        <w:t>ca</w:t>
      </w:r>
      <w:r w:rsidR="00E1796E" w:rsidRPr="002B356F">
        <w:rPr>
          <w:i/>
          <w:iCs/>
          <w:color w:val="595959" w:themeColor="text1" w:themeTint="A6"/>
          <w:sz w:val="18"/>
          <w:szCs w:val="18"/>
        </w:rPr>
        <w:t xml:space="preserve">pital </w:t>
      </w:r>
      <w:proofErr w:type="spellStart"/>
      <w:r w:rsidR="006F74D4" w:rsidRPr="002B356F">
        <w:rPr>
          <w:i/>
          <w:iCs/>
          <w:color w:val="595959" w:themeColor="text1" w:themeTint="A6"/>
          <w:sz w:val="18"/>
          <w:szCs w:val="18"/>
        </w:rPr>
        <w:t>e</w:t>
      </w:r>
      <w:r w:rsidR="00E1796E" w:rsidRPr="002B356F">
        <w:rPr>
          <w:i/>
          <w:iCs/>
          <w:color w:val="595959" w:themeColor="text1" w:themeTint="A6"/>
          <w:sz w:val="18"/>
          <w:szCs w:val="18"/>
        </w:rPr>
        <w:t>xpenditure</w:t>
      </w:r>
      <w:proofErr w:type="spellEnd"/>
      <w:r w:rsidR="00E1796E" w:rsidRPr="0050392D">
        <w:rPr>
          <w:color w:val="595959" w:themeColor="text1" w:themeTint="A6"/>
          <w:sz w:val="18"/>
          <w:szCs w:val="18"/>
        </w:rPr>
        <w:t>)</w:t>
      </w:r>
      <w:r w:rsidRPr="0050392D">
        <w:rPr>
          <w:color w:val="595959" w:themeColor="text1" w:themeTint="A6"/>
          <w:sz w:val="18"/>
          <w:szCs w:val="18"/>
        </w:rPr>
        <w:t xml:space="preserve"> et </w:t>
      </w:r>
      <w:r w:rsidR="002E7EE6" w:rsidRPr="0050392D">
        <w:rPr>
          <w:color w:val="595959" w:themeColor="text1" w:themeTint="A6"/>
          <w:sz w:val="18"/>
          <w:szCs w:val="18"/>
        </w:rPr>
        <w:t>EBITDA (</w:t>
      </w:r>
      <w:proofErr w:type="spellStart"/>
      <w:r w:rsidR="002E7EE6" w:rsidRPr="002B356F">
        <w:rPr>
          <w:i/>
          <w:iCs/>
          <w:color w:val="595959" w:themeColor="text1" w:themeTint="A6"/>
          <w:sz w:val="18"/>
          <w:szCs w:val="18"/>
        </w:rPr>
        <w:t>Earnings</w:t>
      </w:r>
      <w:proofErr w:type="spellEnd"/>
      <w:r w:rsidR="002E7EE6" w:rsidRPr="002B356F">
        <w:rPr>
          <w:i/>
          <w:iCs/>
          <w:color w:val="595959" w:themeColor="text1" w:themeTint="A6"/>
          <w:sz w:val="18"/>
          <w:szCs w:val="18"/>
        </w:rPr>
        <w:t xml:space="preserve"> </w:t>
      </w:r>
      <w:proofErr w:type="spellStart"/>
      <w:r w:rsidR="002E7EE6" w:rsidRPr="002B356F">
        <w:rPr>
          <w:i/>
          <w:iCs/>
          <w:color w:val="595959" w:themeColor="text1" w:themeTint="A6"/>
          <w:sz w:val="18"/>
          <w:szCs w:val="18"/>
        </w:rPr>
        <w:t>Before</w:t>
      </w:r>
      <w:proofErr w:type="spellEnd"/>
      <w:r w:rsidR="002E7EE6" w:rsidRPr="002B356F">
        <w:rPr>
          <w:i/>
          <w:iCs/>
          <w:color w:val="595959" w:themeColor="text1" w:themeTint="A6"/>
          <w:sz w:val="18"/>
          <w:szCs w:val="18"/>
        </w:rPr>
        <w:t xml:space="preserve"> </w:t>
      </w:r>
      <w:proofErr w:type="spellStart"/>
      <w:r w:rsidR="002E7EE6" w:rsidRPr="002B356F">
        <w:rPr>
          <w:i/>
          <w:iCs/>
          <w:color w:val="595959" w:themeColor="text1" w:themeTint="A6"/>
          <w:sz w:val="18"/>
          <w:szCs w:val="18"/>
        </w:rPr>
        <w:t>Interest</w:t>
      </w:r>
      <w:proofErr w:type="spellEnd"/>
      <w:r w:rsidR="002E7EE6" w:rsidRPr="002B356F">
        <w:rPr>
          <w:i/>
          <w:iCs/>
          <w:color w:val="595959" w:themeColor="text1" w:themeTint="A6"/>
          <w:sz w:val="18"/>
          <w:szCs w:val="18"/>
        </w:rPr>
        <w:t xml:space="preserve">, Taxes, </w:t>
      </w:r>
      <w:proofErr w:type="spellStart"/>
      <w:r w:rsidR="002E7EE6" w:rsidRPr="002B356F">
        <w:rPr>
          <w:i/>
          <w:iCs/>
          <w:color w:val="595959" w:themeColor="text1" w:themeTint="A6"/>
          <w:sz w:val="18"/>
          <w:szCs w:val="18"/>
        </w:rPr>
        <w:t>Depreciation</w:t>
      </w:r>
      <w:proofErr w:type="spellEnd"/>
      <w:r w:rsidR="002E7EE6" w:rsidRPr="002B356F">
        <w:rPr>
          <w:i/>
          <w:iCs/>
          <w:color w:val="595959" w:themeColor="text1" w:themeTint="A6"/>
          <w:sz w:val="18"/>
          <w:szCs w:val="18"/>
        </w:rPr>
        <w:t xml:space="preserve">, and </w:t>
      </w:r>
      <w:proofErr w:type="spellStart"/>
      <w:r w:rsidR="002E7EE6" w:rsidRPr="002B356F">
        <w:rPr>
          <w:i/>
          <w:iCs/>
          <w:color w:val="595959" w:themeColor="text1" w:themeTint="A6"/>
          <w:sz w:val="18"/>
          <w:szCs w:val="18"/>
        </w:rPr>
        <w:t>Amortization</w:t>
      </w:r>
      <w:proofErr w:type="spellEnd"/>
      <w:r w:rsidR="002E7EE6" w:rsidRPr="0050392D">
        <w:rPr>
          <w:color w:val="595959" w:themeColor="text1" w:themeTint="A6"/>
          <w:sz w:val="18"/>
          <w:szCs w:val="18"/>
        </w:rPr>
        <w:t xml:space="preserve">, en français : </w:t>
      </w:r>
      <w:r w:rsidR="00D51C33" w:rsidRPr="0050392D">
        <w:rPr>
          <w:color w:val="595959" w:themeColor="text1" w:themeTint="A6"/>
          <w:sz w:val="18"/>
          <w:szCs w:val="18"/>
        </w:rPr>
        <w:t>B</w:t>
      </w:r>
      <w:r w:rsidR="002E7EE6" w:rsidRPr="0050392D">
        <w:rPr>
          <w:color w:val="595959" w:themeColor="text1" w:themeTint="A6"/>
          <w:sz w:val="18"/>
          <w:szCs w:val="18"/>
        </w:rPr>
        <w:t xml:space="preserve">énéfice </w:t>
      </w:r>
      <w:r w:rsidR="00D51C33" w:rsidRPr="0050392D">
        <w:rPr>
          <w:color w:val="595959" w:themeColor="text1" w:themeTint="A6"/>
          <w:sz w:val="18"/>
          <w:szCs w:val="18"/>
        </w:rPr>
        <w:t>A</w:t>
      </w:r>
      <w:r w:rsidR="002E7EE6" w:rsidRPr="0050392D">
        <w:rPr>
          <w:color w:val="595959" w:themeColor="text1" w:themeTint="A6"/>
          <w:sz w:val="18"/>
          <w:szCs w:val="18"/>
        </w:rPr>
        <w:t xml:space="preserve">vant </w:t>
      </w:r>
      <w:r w:rsidR="00D51C33" w:rsidRPr="0050392D">
        <w:rPr>
          <w:color w:val="595959" w:themeColor="text1" w:themeTint="A6"/>
          <w:sz w:val="18"/>
          <w:szCs w:val="18"/>
        </w:rPr>
        <w:t>I</w:t>
      </w:r>
      <w:r w:rsidR="002E7EE6" w:rsidRPr="0050392D">
        <w:rPr>
          <w:color w:val="595959" w:themeColor="text1" w:themeTint="A6"/>
          <w:sz w:val="18"/>
          <w:szCs w:val="18"/>
        </w:rPr>
        <w:t>ntérêts,</w:t>
      </w:r>
      <w:r w:rsidR="00D51C33" w:rsidRPr="0050392D">
        <w:rPr>
          <w:color w:val="595959" w:themeColor="text1" w:themeTint="A6"/>
          <w:sz w:val="18"/>
          <w:szCs w:val="18"/>
        </w:rPr>
        <w:t xml:space="preserve"> I</w:t>
      </w:r>
      <w:r w:rsidR="002E7EE6" w:rsidRPr="0050392D">
        <w:rPr>
          <w:color w:val="595959" w:themeColor="text1" w:themeTint="A6"/>
          <w:sz w:val="18"/>
          <w:szCs w:val="18"/>
        </w:rPr>
        <w:t xml:space="preserve">mpôts, </w:t>
      </w:r>
      <w:r w:rsidR="00D51C33" w:rsidRPr="0050392D">
        <w:rPr>
          <w:color w:val="595959" w:themeColor="text1" w:themeTint="A6"/>
          <w:sz w:val="18"/>
          <w:szCs w:val="18"/>
        </w:rPr>
        <w:t>D</w:t>
      </w:r>
      <w:r w:rsidR="002E7EE6" w:rsidRPr="0050392D">
        <w:rPr>
          <w:color w:val="595959" w:themeColor="text1" w:themeTint="A6"/>
          <w:sz w:val="18"/>
          <w:szCs w:val="18"/>
        </w:rPr>
        <w:t xml:space="preserve">épréciation et </w:t>
      </w:r>
      <w:r w:rsidR="00D51C33" w:rsidRPr="0050392D">
        <w:rPr>
          <w:color w:val="595959" w:themeColor="text1" w:themeTint="A6"/>
          <w:sz w:val="18"/>
          <w:szCs w:val="18"/>
        </w:rPr>
        <w:t>A</w:t>
      </w:r>
      <w:r w:rsidR="002E7EE6" w:rsidRPr="0050392D">
        <w:rPr>
          <w:color w:val="595959" w:themeColor="text1" w:themeTint="A6"/>
          <w:sz w:val="18"/>
          <w:szCs w:val="18"/>
        </w:rPr>
        <w:t xml:space="preserve">mortissement, BAIIDA) </w:t>
      </w:r>
      <w:r w:rsidRPr="0050392D">
        <w:rPr>
          <w:color w:val="595959" w:themeColor="text1" w:themeTint="A6"/>
          <w:sz w:val="18"/>
          <w:szCs w:val="18"/>
        </w:rPr>
        <w:t>des opérateurs télécoms ayant une part de marché fixe ou mobile supérieur à 10 %. (2) Locaux déployés entre septembre 2018 et septembre 2019.</w:t>
      </w:r>
    </w:p>
    <w:p w14:paraId="1D601A0E" w14:textId="77777777" w:rsidR="0050392D" w:rsidRDefault="0050392D">
      <w:pPr>
        <w:rPr>
          <w:color w:val="595959" w:themeColor="text1" w:themeTint="A6"/>
          <w:sz w:val="18"/>
          <w:szCs w:val="18"/>
        </w:rPr>
      </w:pPr>
      <w:r>
        <w:rPr>
          <w:color w:val="595959" w:themeColor="text1" w:themeTint="A6"/>
          <w:sz w:val="18"/>
          <w:szCs w:val="18"/>
        </w:rPr>
        <w:br w:type="page"/>
      </w:r>
    </w:p>
    <w:p w14:paraId="23CC6356" w14:textId="67B2662C" w:rsidR="00162289" w:rsidRDefault="00FF06C7" w:rsidP="00FF06C7">
      <w:pPr>
        <w:pStyle w:val="Titre1"/>
      </w:pPr>
      <w:r>
        <w:lastRenderedPageBreak/>
        <w:t>Des réseaux de qualité déployés à un rythme accéléré</w:t>
      </w:r>
    </w:p>
    <w:p w14:paraId="7A3AF376" w14:textId="4D3279F0" w:rsidR="00FF06C7" w:rsidRDefault="00C30B2A" w:rsidP="00365F72">
      <w:pPr>
        <w:pStyle w:val="Titre2"/>
      </w:pPr>
      <w:r w:rsidRPr="00C30B2A">
        <w:t>Déploiement des réseaux fixes</w:t>
      </w:r>
    </w:p>
    <w:p w14:paraId="247CDC22" w14:textId="157A898B" w:rsidR="00C30B2A" w:rsidRDefault="00365F72" w:rsidP="00365F72">
      <w:pPr>
        <w:pStyle w:val="Titre3"/>
      </w:pPr>
      <w:r>
        <w:t>Déploiement du très haut débit</w:t>
      </w:r>
    </w:p>
    <w:p w14:paraId="18FB5152" w14:textId="0666A4A0" w:rsidR="00365F72" w:rsidRDefault="00365F72" w:rsidP="00365F72">
      <w:pPr>
        <w:spacing w:before="240"/>
      </w:pPr>
      <w:r>
        <w:t>Généralisation du très haut débit | Locaux éligibles à une offre très haut débit</w:t>
      </w:r>
      <w:r w:rsidRPr="00365F72">
        <w:rPr>
          <w:vertAlign w:val="superscript"/>
        </w:rPr>
        <w:t>1</w:t>
      </w:r>
      <w:r>
        <w:t>, en millions de locaux</w:t>
      </w:r>
      <w:r w:rsidR="000C53AE">
        <w:t> :</w:t>
      </w:r>
    </w:p>
    <w:p w14:paraId="2AC64C04" w14:textId="1D50A6B7" w:rsidR="000C53AE" w:rsidRDefault="000C53AE" w:rsidP="000C53AE">
      <w:pPr>
        <w:pStyle w:val="Paragraphedeliste"/>
        <w:numPr>
          <w:ilvl w:val="0"/>
          <w:numId w:val="10"/>
        </w:numPr>
        <w:spacing w:before="240"/>
      </w:pPr>
      <w:r>
        <w:t>2</w:t>
      </w:r>
      <w:r w:rsidRPr="000C53AE">
        <w:rPr>
          <w:vertAlign w:val="superscript"/>
        </w:rPr>
        <w:t>ème</w:t>
      </w:r>
      <w:r>
        <w:t xml:space="preserve"> trimestre 2017 : 16,8 (</w:t>
      </w:r>
      <w:r w:rsidR="00B3447F">
        <w:t>32 % des locaux éligibles)</w:t>
      </w:r>
      <w:r w:rsidR="00464DBE">
        <w:t> ;</w:t>
      </w:r>
    </w:p>
    <w:p w14:paraId="62B9A41A" w14:textId="77777777" w:rsidR="00427966" w:rsidRDefault="00B3447F" w:rsidP="00633AF2">
      <w:pPr>
        <w:pStyle w:val="Paragraphedeliste"/>
        <w:numPr>
          <w:ilvl w:val="0"/>
          <w:numId w:val="10"/>
        </w:numPr>
        <w:spacing w:before="240"/>
      </w:pPr>
      <w:r>
        <w:t>2</w:t>
      </w:r>
      <w:r w:rsidRPr="00427966">
        <w:rPr>
          <w:vertAlign w:val="superscript"/>
        </w:rPr>
        <w:t>ème</w:t>
      </w:r>
      <w:r>
        <w:t xml:space="preserve"> trimestre 2020 : 26,1 (48 % des locaux éligibles)</w:t>
      </w:r>
      <w:r w:rsidR="00464DBE">
        <w:t>, soit + 16</w:t>
      </w:r>
      <w:r w:rsidR="0056063E">
        <w:t xml:space="preserve"> </w:t>
      </w:r>
      <w:r w:rsidR="00464DBE">
        <w:t>% par an</w:t>
      </w:r>
      <w:r w:rsidR="00427966">
        <w:t> ;</w:t>
      </w:r>
    </w:p>
    <w:p w14:paraId="0F3A4960" w14:textId="06D96007" w:rsidR="00B3447F" w:rsidRDefault="00464DBE" w:rsidP="00633AF2">
      <w:pPr>
        <w:pStyle w:val="Paragraphedeliste"/>
        <w:numPr>
          <w:ilvl w:val="0"/>
          <w:numId w:val="10"/>
        </w:numPr>
        <w:spacing w:before="240"/>
      </w:pPr>
      <w:r>
        <w:t xml:space="preserve">+ 4,8 millions de locaux raccordés au </w:t>
      </w:r>
      <w:proofErr w:type="spellStart"/>
      <w:r>
        <w:t>FttH</w:t>
      </w:r>
      <w:proofErr w:type="spellEnd"/>
      <w:r>
        <w:t xml:space="preserve"> en 2019 (+ 400 000 locaux/mois)</w:t>
      </w:r>
      <w:r w:rsidR="00427966">
        <w:t>.</w:t>
      </w:r>
    </w:p>
    <w:p w14:paraId="09D027CD" w14:textId="1273C5FB" w:rsidR="00365F72" w:rsidRDefault="00721F81" w:rsidP="00615F7C">
      <w:pPr>
        <w:pStyle w:val="Titre3"/>
      </w:pPr>
      <w:r>
        <w:t>Raccordement des territoires</w:t>
      </w:r>
    </w:p>
    <w:p w14:paraId="7E7EE6AD" w14:textId="56994804" w:rsidR="00721F81" w:rsidRDefault="00721F81" w:rsidP="004E519D">
      <w:pPr>
        <w:spacing w:before="240"/>
      </w:pPr>
      <w:r>
        <w:t xml:space="preserve">Record de déploiement du </w:t>
      </w:r>
      <w:proofErr w:type="spellStart"/>
      <w:r>
        <w:t>FttH</w:t>
      </w:r>
      <w:proofErr w:type="spellEnd"/>
      <w:r>
        <w:t xml:space="preserve"> dans les zones moins denses en 2019</w:t>
      </w:r>
      <w:r w:rsidR="004E519D">
        <w:t xml:space="preserve"> | Un déploiement de la fibre </w:t>
      </w:r>
      <w:proofErr w:type="spellStart"/>
      <w:r w:rsidR="004E519D">
        <w:t>FttH</w:t>
      </w:r>
      <w:proofErr w:type="spellEnd"/>
      <w:r w:rsidR="004E519D">
        <w:t xml:space="preserve"> x3/en 3 ans dans les zones moins denses.</w:t>
      </w:r>
    </w:p>
    <w:tbl>
      <w:tblPr>
        <w:tblStyle w:val="Grilledutableau"/>
        <w:tblW w:w="0" w:type="auto"/>
        <w:jc w:val="center"/>
        <w:tblLook w:val="04A0" w:firstRow="1" w:lastRow="0" w:firstColumn="1" w:lastColumn="0" w:noHBand="0" w:noVBand="1"/>
      </w:tblPr>
      <w:tblGrid>
        <w:gridCol w:w="1969"/>
        <w:gridCol w:w="1893"/>
        <w:gridCol w:w="1819"/>
        <w:gridCol w:w="1731"/>
        <w:gridCol w:w="1650"/>
      </w:tblGrid>
      <w:tr w:rsidR="00550E3A" w14:paraId="498CEBCA" w14:textId="732E80B0" w:rsidTr="002B356F">
        <w:trPr>
          <w:trHeight w:val="567"/>
          <w:jc w:val="center"/>
        </w:trPr>
        <w:tc>
          <w:tcPr>
            <w:tcW w:w="1969" w:type="dxa"/>
            <w:shd w:val="clear" w:color="auto" w:fill="EBF0F5"/>
            <w:vAlign w:val="center"/>
          </w:tcPr>
          <w:p w14:paraId="628AD1DA" w14:textId="20462D21" w:rsidR="00550E3A" w:rsidRPr="003F2E71" w:rsidRDefault="00550E3A" w:rsidP="002B356F">
            <w:pPr>
              <w:jc w:val="center"/>
              <w:rPr>
                <w:b/>
                <w:bCs/>
              </w:rPr>
            </w:pPr>
            <w:r>
              <w:rPr>
                <w:b/>
                <w:bCs/>
              </w:rPr>
              <w:t>Date</w:t>
            </w:r>
          </w:p>
        </w:tc>
        <w:tc>
          <w:tcPr>
            <w:tcW w:w="1893" w:type="dxa"/>
            <w:shd w:val="clear" w:color="auto" w:fill="EBF0F5"/>
            <w:vAlign w:val="center"/>
          </w:tcPr>
          <w:p w14:paraId="02A179AE" w14:textId="53BB0935" w:rsidR="00550E3A" w:rsidRPr="003F2E71" w:rsidRDefault="00550E3A" w:rsidP="002B356F">
            <w:pPr>
              <w:jc w:val="center"/>
              <w:rPr>
                <w:b/>
                <w:bCs/>
              </w:rPr>
            </w:pPr>
            <w:r>
              <w:rPr>
                <w:b/>
                <w:bCs/>
              </w:rPr>
              <w:t>Zones très denses</w:t>
            </w:r>
          </w:p>
        </w:tc>
        <w:tc>
          <w:tcPr>
            <w:tcW w:w="1819" w:type="dxa"/>
            <w:shd w:val="clear" w:color="auto" w:fill="EBF0F5"/>
            <w:vAlign w:val="center"/>
          </w:tcPr>
          <w:p w14:paraId="07C5C7C1" w14:textId="4719B919" w:rsidR="00550E3A" w:rsidRPr="003F2E71" w:rsidRDefault="00550E3A" w:rsidP="002B356F">
            <w:pPr>
              <w:jc w:val="center"/>
              <w:rPr>
                <w:b/>
                <w:bCs/>
              </w:rPr>
            </w:pPr>
            <w:r>
              <w:rPr>
                <w:b/>
                <w:bCs/>
              </w:rPr>
              <w:t>AMII</w:t>
            </w:r>
            <w:r w:rsidR="00A12A60" w:rsidRPr="00A12A60">
              <w:rPr>
                <w:b/>
                <w:bCs/>
                <w:vertAlign w:val="superscript"/>
              </w:rPr>
              <w:t>3</w:t>
            </w:r>
          </w:p>
        </w:tc>
        <w:tc>
          <w:tcPr>
            <w:tcW w:w="1731" w:type="dxa"/>
            <w:shd w:val="clear" w:color="auto" w:fill="EBF0F5"/>
            <w:vAlign w:val="center"/>
          </w:tcPr>
          <w:p w14:paraId="02DFFC49" w14:textId="40DEC1EF" w:rsidR="00550E3A" w:rsidRDefault="00550E3A" w:rsidP="002B356F">
            <w:pPr>
              <w:jc w:val="center"/>
              <w:rPr>
                <w:b/>
                <w:bCs/>
              </w:rPr>
            </w:pPr>
            <w:r>
              <w:rPr>
                <w:b/>
                <w:bCs/>
              </w:rPr>
              <w:t>RIP</w:t>
            </w:r>
            <w:r w:rsidR="00A12A60" w:rsidRPr="00A12A60">
              <w:rPr>
                <w:b/>
                <w:bCs/>
                <w:vertAlign w:val="superscript"/>
              </w:rPr>
              <w:t>2</w:t>
            </w:r>
          </w:p>
        </w:tc>
        <w:tc>
          <w:tcPr>
            <w:tcW w:w="1650" w:type="dxa"/>
            <w:shd w:val="clear" w:color="auto" w:fill="EBF0F5"/>
            <w:vAlign w:val="center"/>
          </w:tcPr>
          <w:p w14:paraId="5A0BE067" w14:textId="4C951532" w:rsidR="00550E3A" w:rsidRDefault="00550E3A" w:rsidP="002B356F">
            <w:pPr>
              <w:jc w:val="center"/>
              <w:rPr>
                <w:b/>
                <w:bCs/>
              </w:rPr>
            </w:pPr>
            <w:r>
              <w:rPr>
                <w:b/>
                <w:bCs/>
              </w:rPr>
              <w:t>Total</w:t>
            </w:r>
          </w:p>
        </w:tc>
      </w:tr>
      <w:tr w:rsidR="00550E3A" w14:paraId="09F04766" w14:textId="3E2573D9" w:rsidTr="002B356F">
        <w:trPr>
          <w:trHeight w:val="567"/>
          <w:jc w:val="center"/>
        </w:trPr>
        <w:tc>
          <w:tcPr>
            <w:tcW w:w="1969" w:type="dxa"/>
            <w:vAlign w:val="center"/>
          </w:tcPr>
          <w:p w14:paraId="3E3E8974" w14:textId="453A4940" w:rsidR="00550E3A" w:rsidRDefault="00550E3A" w:rsidP="002B356F">
            <w:pPr>
              <w:jc w:val="center"/>
            </w:pPr>
            <w:r>
              <w:t>2</w:t>
            </w:r>
            <w:r w:rsidRPr="00DF5EEA">
              <w:rPr>
                <w:vertAlign w:val="superscript"/>
              </w:rPr>
              <w:t>ème</w:t>
            </w:r>
            <w:r>
              <w:t xml:space="preserve"> trimestre 2017</w:t>
            </w:r>
          </w:p>
        </w:tc>
        <w:tc>
          <w:tcPr>
            <w:tcW w:w="1893" w:type="dxa"/>
            <w:vAlign w:val="center"/>
          </w:tcPr>
          <w:p w14:paraId="002BF2F9" w14:textId="68824DB9" w:rsidR="00550E3A" w:rsidRDefault="00550E3A" w:rsidP="002B356F">
            <w:pPr>
              <w:jc w:val="center"/>
            </w:pPr>
            <w:r w:rsidRPr="00997981">
              <w:rPr>
                <w:b/>
                <w:bCs/>
              </w:rPr>
              <w:t>4,5</w:t>
            </w:r>
            <w:r w:rsidR="005D1DA9">
              <w:t xml:space="preserve"> (53 %)</w:t>
            </w:r>
          </w:p>
        </w:tc>
        <w:tc>
          <w:tcPr>
            <w:tcW w:w="1819" w:type="dxa"/>
            <w:vAlign w:val="center"/>
          </w:tcPr>
          <w:p w14:paraId="3114E70A" w14:textId="098F31A9" w:rsidR="00550E3A" w:rsidRDefault="005D1DA9" w:rsidP="002B356F">
            <w:pPr>
              <w:jc w:val="center"/>
            </w:pPr>
            <w:r w:rsidRPr="00997981">
              <w:rPr>
                <w:b/>
                <w:bCs/>
              </w:rPr>
              <w:t>3,4</w:t>
            </w:r>
            <w:r>
              <w:t xml:space="preserve"> (40 %)</w:t>
            </w:r>
          </w:p>
        </w:tc>
        <w:tc>
          <w:tcPr>
            <w:tcW w:w="1731" w:type="dxa"/>
            <w:vAlign w:val="center"/>
          </w:tcPr>
          <w:p w14:paraId="2854673C" w14:textId="0653F1D5" w:rsidR="00550E3A" w:rsidRDefault="005D1DA9" w:rsidP="002B356F">
            <w:pPr>
              <w:jc w:val="center"/>
            </w:pPr>
            <w:r w:rsidRPr="00997981">
              <w:rPr>
                <w:b/>
                <w:bCs/>
              </w:rPr>
              <w:t>0,7</w:t>
            </w:r>
            <w:r>
              <w:t xml:space="preserve"> (8 %)</w:t>
            </w:r>
          </w:p>
        </w:tc>
        <w:tc>
          <w:tcPr>
            <w:tcW w:w="1650" w:type="dxa"/>
            <w:vAlign w:val="center"/>
          </w:tcPr>
          <w:p w14:paraId="3DDA322F" w14:textId="27DA9E53" w:rsidR="00550E3A" w:rsidRPr="00997981" w:rsidRDefault="00550E3A" w:rsidP="002B356F">
            <w:pPr>
              <w:jc w:val="center"/>
              <w:rPr>
                <w:b/>
                <w:bCs/>
              </w:rPr>
            </w:pPr>
            <w:r w:rsidRPr="00997981">
              <w:rPr>
                <w:b/>
                <w:bCs/>
              </w:rPr>
              <w:t>8,6</w:t>
            </w:r>
          </w:p>
        </w:tc>
      </w:tr>
      <w:tr w:rsidR="005D1DA9" w14:paraId="0865DACF" w14:textId="3C6AA9D2" w:rsidTr="002B356F">
        <w:trPr>
          <w:trHeight w:val="567"/>
          <w:jc w:val="center"/>
        </w:trPr>
        <w:tc>
          <w:tcPr>
            <w:tcW w:w="1969" w:type="dxa"/>
            <w:vAlign w:val="center"/>
          </w:tcPr>
          <w:p w14:paraId="61EFD0F8" w14:textId="66A60A26" w:rsidR="005D1DA9" w:rsidRDefault="005D1DA9" w:rsidP="002B356F">
            <w:pPr>
              <w:jc w:val="center"/>
            </w:pPr>
            <w:r>
              <w:t>2</w:t>
            </w:r>
            <w:r w:rsidRPr="00DF5EEA">
              <w:rPr>
                <w:vertAlign w:val="superscript"/>
              </w:rPr>
              <w:t>ème</w:t>
            </w:r>
            <w:r>
              <w:t xml:space="preserve"> trimestre 2020</w:t>
            </w:r>
          </w:p>
        </w:tc>
        <w:tc>
          <w:tcPr>
            <w:tcW w:w="1893" w:type="dxa"/>
            <w:vAlign w:val="center"/>
          </w:tcPr>
          <w:p w14:paraId="4830ADC8" w14:textId="5B58EC2C" w:rsidR="005D1DA9" w:rsidRDefault="005D1DA9" w:rsidP="002B356F">
            <w:pPr>
              <w:jc w:val="center"/>
            </w:pPr>
            <w:r w:rsidRPr="00997981">
              <w:rPr>
                <w:b/>
                <w:bCs/>
              </w:rPr>
              <w:t>6,0</w:t>
            </w:r>
            <w:r>
              <w:t xml:space="preserve"> (29 %)</w:t>
            </w:r>
          </w:p>
        </w:tc>
        <w:tc>
          <w:tcPr>
            <w:tcW w:w="1819" w:type="dxa"/>
            <w:vAlign w:val="center"/>
          </w:tcPr>
          <w:p w14:paraId="0E87BCE2" w14:textId="1ED04DD1" w:rsidR="005D1DA9" w:rsidRDefault="005D1DA9" w:rsidP="002B356F">
            <w:pPr>
              <w:jc w:val="center"/>
            </w:pPr>
            <w:r w:rsidRPr="00997981">
              <w:rPr>
                <w:b/>
                <w:bCs/>
              </w:rPr>
              <w:t>10,5</w:t>
            </w:r>
            <w:r>
              <w:t xml:space="preserve"> (</w:t>
            </w:r>
            <w:r w:rsidR="00997981">
              <w:t>51</w:t>
            </w:r>
            <w:r>
              <w:t xml:space="preserve"> %)</w:t>
            </w:r>
          </w:p>
        </w:tc>
        <w:tc>
          <w:tcPr>
            <w:tcW w:w="1731" w:type="dxa"/>
            <w:vAlign w:val="center"/>
          </w:tcPr>
          <w:p w14:paraId="5A89DE4B" w14:textId="68D10C1F" w:rsidR="005D1DA9" w:rsidRDefault="00997981" w:rsidP="002B356F">
            <w:pPr>
              <w:jc w:val="center"/>
            </w:pPr>
            <w:r w:rsidRPr="00997981">
              <w:rPr>
                <w:b/>
                <w:bCs/>
              </w:rPr>
              <w:t>4,3</w:t>
            </w:r>
            <w:r w:rsidR="005D1DA9">
              <w:t xml:space="preserve"> (</w:t>
            </w:r>
            <w:r>
              <w:t>21</w:t>
            </w:r>
            <w:r w:rsidR="005D1DA9">
              <w:t xml:space="preserve"> %)</w:t>
            </w:r>
          </w:p>
        </w:tc>
        <w:tc>
          <w:tcPr>
            <w:tcW w:w="1650" w:type="dxa"/>
            <w:vAlign w:val="center"/>
          </w:tcPr>
          <w:p w14:paraId="6301C2BD" w14:textId="2B4B94FF" w:rsidR="005D1DA9" w:rsidRDefault="005D1DA9" w:rsidP="002B356F">
            <w:pPr>
              <w:jc w:val="center"/>
            </w:pPr>
            <w:r w:rsidRPr="00997981">
              <w:rPr>
                <w:b/>
                <w:bCs/>
              </w:rPr>
              <w:t>20,8</w:t>
            </w:r>
            <w:r>
              <w:br/>
              <w:t>(+ 34</w:t>
            </w:r>
            <w:r w:rsidR="0056063E">
              <w:t xml:space="preserve"> </w:t>
            </w:r>
            <w:r>
              <w:t>%</w:t>
            </w:r>
            <w:r w:rsidR="0056063E">
              <w:t xml:space="preserve"> par</w:t>
            </w:r>
            <w:r>
              <w:t xml:space="preserve"> an)</w:t>
            </w:r>
          </w:p>
        </w:tc>
      </w:tr>
    </w:tbl>
    <w:p w14:paraId="609D8C5B" w14:textId="162D3F72" w:rsidR="001A1420" w:rsidRPr="0050392D" w:rsidRDefault="001A1420" w:rsidP="002B356F">
      <w:pPr>
        <w:spacing w:before="120"/>
        <w:rPr>
          <w:color w:val="595959" w:themeColor="text1" w:themeTint="A6"/>
          <w:sz w:val="18"/>
          <w:szCs w:val="18"/>
        </w:rPr>
      </w:pPr>
      <w:r w:rsidRPr="0050392D">
        <w:rPr>
          <w:color w:val="595959" w:themeColor="text1" w:themeTint="A6"/>
          <w:sz w:val="18"/>
          <w:szCs w:val="18"/>
        </w:rPr>
        <w:t>Source : Arcep, opérateurs, Analyse Arthur D. Little.</w:t>
      </w:r>
      <w:r w:rsidR="00615F7C" w:rsidRPr="0050392D">
        <w:rPr>
          <w:color w:val="595959" w:themeColor="text1" w:themeTint="A6"/>
          <w:sz w:val="18"/>
          <w:szCs w:val="18"/>
        </w:rPr>
        <w:t xml:space="preserve"> </w:t>
      </w:r>
      <w:r w:rsidRPr="0050392D">
        <w:rPr>
          <w:color w:val="595959" w:themeColor="text1" w:themeTint="A6"/>
          <w:sz w:val="18"/>
          <w:szCs w:val="18"/>
        </w:rPr>
        <w:t>(1) Consommation par carte active 4G.</w:t>
      </w:r>
      <w:r w:rsidR="00615F7C" w:rsidRPr="0050392D">
        <w:rPr>
          <w:color w:val="595959" w:themeColor="text1" w:themeTint="A6"/>
          <w:sz w:val="18"/>
          <w:szCs w:val="18"/>
        </w:rPr>
        <w:t xml:space="preserve"> </w:t>
      </w:r>
      <w:r w:rsidRPr="0050392D">
        <w:rPr>
          <w:color w:val="595959" w:themeColor="text1" w:themeTint="A6"/>
          <w:sz w:val="18"/>
          <w:szCs w:val="18"/>
        </w:rPr>
        <w:t>(2) Zones moins denses - Initiative publique.</w:t>
      </w:r>
      <w:r w:rsidR="00615F7C" w:rsidRPr="0050392D">
        <w:rPr>
          <w:color w:val="595959" w:themeColor="text1" w:themeTint="A6"/>
          <w:sz w:val="18"/>
          <w:szCs w:val="18"/>
        </w:rPr>
        <w:t xml:space="preserve"> </w:t>
      </w:r>
      <w:r w:rsidRPr="0050392D">
        <w:rPr>
          <w:color w:val="595959" w:themeColor="text1" w:themeTint="A6"/>
          <w:sz w:val="18"/>
          <w:szCs w:val="18"/>
        </w:rPr>
        <w:t>(3) Zones moins denses - Initiative privée.</w:t>
      </w:r>
    </w:p>
    <w:p w14:paraId="7743A6C7" w14:textId="0FD1C1E0" w:rsidR="001A1420" w:rsidRDefault="00AB1B4B" w:rsidP="002B356F">
      <w:pPr>
        <w:pStyle w:val="Titre2"/>
        <w:spacing w:before="480"/>
      </w:pPr>
      <w:r w:rsidRPr="00AB1B4B">
        <w:t>Déploiement des réseaux mobiles</w:t>
      </w:r>
    </w:p>
    <w:p w14:paraId="7D077062" w14:textId="09FA7FF3" w:rsidR="00AB1B4B" w:rsidRDefault="00AB1B4B" w:rsidP="00877201">
      <w:pPr>
        <w:pStyle w:val="Titre3"/>
      </w:pPr>
      <w:r>
        <w:t>Déploiement des réseaux mobiles 4G et 5G (tous opérateurs)</w:t>
      </w:r>
    </w:p>
    <w:tbl>
      <w:tblPr>
        <w:tblStyle w:val="Grilledutableau"/>
        <w:tblW w:w="0" w:type="auto"/>
        <w:jc w:val="center"/>
        <w:tblLook w:val="04A0" w:firstRow="1" w:lastRow="0" w:firstColumn="1" w:lastColumn="0" w:noHBand="0" w:noVBand="1"/>
      </w:tblPr>
      <w:tblGrid>
        <w:gridCol w:w="1706"/>
        <w:gridCol w:w="3681"/>
        <w:gridCol w:w="2835"/>
      </w:tblGrid>
      <w:tr w:rsidR="009A4562" w14:paraId="67CE0F36" w14:textId="77777777" w:rsidTr="002B356F">
        <w:trPr>
          <w:trHeight w:val="567"/>
          <w:jc w:val="center"/>
        </w:trPr>
        <w:tc>
          <w:tcPr>
            <w:tcW w:w="1706" w:type="dxa"/>
            <w:shd w:val="clear" w:color="auto" w:fill="EBF0F5"/>
            <w:vAlign w:val="center"/>
          </w:tcPr>
          <w:p w14:paraId="2F918EBA" w14:textId="77777777" w:rsidR="009A4562" w:rsidRPr="003F2E71" w:rsidRDefault="009A4562" w:rsidP="003E52AC">
            <w:pPr>
              <w:jc w:val="center"/>
              <w:rPr>
                <w:b/>
                <w:bCs/>
              </w:rPr>
            </w:pPr>
            <w:r w:rsidRPr="003F2E71">
              <w:rPr>
                <w:b/>
                <w:bCs/>
              </w:rPr>
              <w:t>Année</w:t>
            </w:r>
          </w:p>
        </w:tc>
        <w:tc>
          <w:tcPr>
            <w:tcW w:w="3681" w:type="dxa"/>
            <w:shd w:val="clear" w:color="auto" w:fill="EBF0F5"/>
          </w:tcPr>
          <w:p w14:paraId="7E1D315C" w14:textId="21885B65" w:rsidR="009A4562" w:rsidRPr="003F2E71" w:rsidRDefault="009A4562" w:rsidP="00633AF2">
            <w:pPr>
              <w:jc w:val="center"/>
              <w:rPr>
                <w:b/>
                <w:bCs/>
              </w:rPr>
            </w:pPr>
            <w:r>
              <w:rPr>
                <w:b/>
                <w:bCs/>
              </w:rPr>
              <w:t xml:space="preserve">Nombre d’antennes 4G mises </w:t>
            </w:r>
            <w:r>
              <w:rPr>
                <w:b/>
                <w:bCs/>
              </w:rPr>
              <w:br/>
              <w:t>en service en métropole</w:t>
            </w:r>
          </w:p>
        </w:tc>
        <w:tc>
          <w:tcPr>
            <w:tcW w:w="2835" w:type="dxa"/>
            <w:shd w:val="clear" w:color="auto" w:fill="EBF0F5"/>
          </w:tcPr>
          <w:p w14:paraId="40FB94AD" w14:textId="3BA5A570" w:rsidR="009A4562" w:rsidRPr="003F2E71" w:rsidRDefault="009A4562" w:rsidP="003F646A">
            <w:pPr>
              <w:jc w:val="center"/>
              <w:rPr>
                <w:b/>
                <w:bCs/>
              </w:rPr>
            </w:pPr>
            <w:r w:rsidRPr="009A4562">
              <w:rPr>
                <w:b/>
                <w:bCs/>
              </w:rPr>
              <w:t>Nombre d’antennes 5G</w:t>
            </w:r>
            <w:r w:rsidR="003F646A">
              <w:rPr>
                <w:b/>
                <w:bCs/>
              </w:rPr>
              <w:t xml:space="preserve"> </w:t>
            </w:r>
            <w:r w:rsidRPr="009A4562">
              <w:rPr>
                <w:b/>
                <w:bCs/>
              </w:rPr>
              <w:t>autorisées en métropole</w:t>
            </w:r>
          </w:p>
        </w:tc>
      </w:tr>
      <w:tr w:rsidR="009A4562" w14:paraId="795B062F" w14:textId="77777777" w:rsidTr="002B356F">
        <w:trPr>
          <w:trHeight w:val="340"/>
          <w:jc w:val="center"/>
        </w:trPr>
        <w:tc>
          <w:tcPr>
            <w:tcW w:w="1706" w:type="dxa"/>
            <w:vAlign w:val="center"/>
          </w:tcPr>
          <w:p w14:paraId="51BF9DC9" w14:textId="0F977212" w:rsidR="009A4562" w:rsidRPr="003F2E71" w:rsidRDefault="009A4562" w:rsidP="002B356F">
            <w:pPr>
              <w:jc w:val="center"/>
              <w:rPr>
                <w:b/>
                <w:bCs/>
              </w:rPr>
            </w:pPr>
            <w:r w:rsidRPr="00AB1B4B">
              <w:rPr>
                <w:b/>
                <w:bCs/>
              </w:rPr>
              <w:t xml:space="preserve">Déc. </w:t>
            </w:r>
            <w:r w:rsidRPr="003F2E71">
              <w:rPr>
                <w:b/>
                <w:bCs/>
              </w:rPr>
              <w:t>2012</w:t>
            </w:r>
          </w:p>
        </w:tc>
        <w:tc>
          <w:tcPr>
            <w:tcW w:w="3681" w:type="dxa"/>
            <w:vAlign w:val="center"/>
          </w:tcPr>
          <w:p w14:paraId="3F1519FC" w14:textId="599F9AFD" w:rsidR="009A4562" w:rsidRDefault="009E42CA" w:rsidP="002B356F">
            <w:pPr>
              <w:jc w:val="center"/>
            </w:pPr>
            <w:r>
              <w:t>Moins de 1 000</w:t>
            </w:r>
          </w:p>
        </w:tc>
        <w:tc>
          <w:tcPr>
            <w:tcW w:w="2835" w:type="dxa"/>
            <w:vAlign w:val="center"/>
          </w:tcPr>
          <w:p w14:paraId="2792BCF4" w14:textId="470972BD" w:rsidR="009A4562" w:rsidRDefault="009A4562" w:rsidP="002B356F">
            <w:pPr>
              <w:jc w:val="center"/>
            </w:pPr>
            <w:r w:rsidRPr="009A4562">
              <w:rPr>
                <w:rFonts w:ascii="Arial" w:hAnsi="Arial" w:cs="Arial"/>
                <w:color w:val="808080" w:themeColor="background1" w:themeShade="80"/>
              </w:rPr>
              <w:t>Ø</w:t>
            </w:r>
          </w:p>
        </w:tc>
      </w:tr>
      <w:tr w:rsidR="009A4562" w14:paraId="4573EAF6" w14:textId="77777777" w:rsidTr="002B356F">
        <w:trPr>
          <w:trHeight w:val="340"/>
          <w:jc w:val="center"/>
        </w:trPr>
        <w:tc>
          <w:tcPr>
            <w:tcW w:w="1706" w:type="dxa"/>
            <w:vAlign w:val="center"/>
          </w:tcPr>
          <w:p w14:paraId="34093C20" w14:textId="41C32174" w:rsidR="009A4562" w:rsidRPr="003F2E71" w:rsidRDefault="009A4562" w:rsidP="002B356F">
            <w:pPr>
              <w:jc w:val="center"/>
              <w:rPr>
                <w:b/>
                <w:bCs/>
              </w:rPr>
            </w:pPr>
            <w:r w:rsidRPr="00AB1B4B">
              <w:rPr>
                <w:b/>
                <w:bCs/>
              </w:rPr>
              <w:t xml:space="preserve">Déc. </w:t>
            </w:r>
            <w:r w:rsidRPr="003F2E71">
              <w:rPr>
                <w:b/>
                <w:bCs/>
              </w:rPr>
              <w:t>2013</w:t>
            </w:r>
          </w:p>
        </w:tc>
        <w:tc>
          <w:tcPr>
            <w:tcW w:w="3681" w:type="dxa"/>
            <w:vAlign w:val="center"/>
          </w:tcPr>
          <w:p w14:paraId="615465A0" w14:textId="204D8D6C" w:rsidR="009A4562" w:rsidRDefault="009E42CA" w:rsidP="002B356F">
            <w:pPr>
              <w:jc w:val="center"/>
            </w:pPr>
            <w:r>
              <w:t>Environ 1</w:t>
            </w:r>
            <w:r w:rsidR="0017062E">
              <w:t>1</w:t>
            </w:r>
            <w:r>
              <w:t xml:space="preserve"> 000</w:t>
            </w:r>
          </w:p>
        </w:tc>
        <w:tc>
          <w:tcPr>
            <w:tcW w:w="2835" w:type="dxa"/>
            <w:vAlign w:val="center"/>
          </w:tcPr>
          <w:p w14:paraId="7DCB8855" w14:textId="092A24E3" w:rsidR="009A4562" w:rsidRDefault="009A4562" w:rsidP="002B356F">
            <w:pPr>
              <w:jc w:val="center"/>
            </w:pPr>
            <w:r w:rsidRPr="009A4562">
              <w:rPr>
                <w:rFonts w:ascii="Arial" w:hAnsi="Arial" w:cs="Arial"/>
                <w:color w:val="808080" w:themeColor="background1" w:themeShade="80"/>
              </w:rPr>
              <w:t>Ø</w:t>
            </w:r>
          </w:p>
        </w:tc>
      </w:tr>
      <w:tr w:rsidR="009A4562" w14:paraId="7E51F71C" w14:textId="77777777" w:rsidTr="002B356F">
        <w:trPr>
          <w:trHeight w:val="340"/>
          <w:jc w:val="center"/>
        </w:trPr>
        <w:tc>
          <w:tcPr>
            <w:tcW w:w="1706" w:type="dxa"/>
            <w:vAlign w:val="center"/>
          </w:tcPr>
          <w:p w14:paraId="0B09C56C" w14:textId="4F7B59E3" w:rsidR="009A4562" w:rsidRPr="003F2E71" w:rsidRDefault="009A4562" w:rsidP="002B356F">
            <w:pPr>
              <w:jc w:val="center"/>
              <w:rPr>
                <w:b/>
                <w:bCs/>
              </w:rPr>
            </w:pPr>
            <w:r w:rsidRPr="00AB1B4B">
              <w:rPr>
                <w:b/>
                <w:bCs/>
              </w:rPr>
              <w:t xml:space="preserve">Déc. </w:t>
            </w:r>
            <w:r w:rsidRPr="003F2E71">
              <w:rPr>
                <w:b/>
                <w:bCs/>
              </w:rPr>
              <w:t>2014</w:t>
            </w:r>
          </w:p>
        </w:tc>
        <w:tc>
          <w:tcPr>
            <w:tcW w:w="3681" w:type="dxa"/>
            <w:vAlign w:val="center"/>
          </w:tcPr>
          <w:p w14:paraId="10E782D9" w14:textId="03CDBD6C" w:rsidR="009A4562" w:rsidRDefault="009E42CA" w:rsidP="002B356F">
            <w:pPr>
              <w:jc w:val="center"/>
            </w:pPr>
            <w:r w:rsidRPr="009E42CA">
              <w:t>Environ 1</w:t>
            </w:r>
            <w:r w:rsidR="0017062E">
              <w:t>9</w:t>
            </w:r>
            <w:r w:rsidRPr="009E42CA">
              <w:t xml:space="preserve"> 000</w:t>
            </w:r>
          </w:p>
        </w:tc>
        <w:tc>
          <w:tcPr>
            <w:tcW w:w="2835" w:type="dxa"/>
            <w:vAlign w:val="center"/>
          </w:tcPr>
          <w:p w14:paraId="1C9384AB" w14:textId="11174E09" w:rsidR="009A4562" w:rsidRDefault="009A4562" w:rsidP="002B356F">
            <w:pPr>
              <w:jc w:val="center"/>
            </w:pPr>
            <w:r w:rsidRPr="009A4562">
              <w:rPr>
                <w:rFonts w:ascii="Arial" w:hAnsi="Arial" w:cs="Arial"/>
                <w:color w:val="808080" w:themeColor="background1" w:themeShade="80"/>
              </w:rPr>
              <w:t>Ø</w:t>
            </w:r>
          </w:p>
        </w:tc>
      </w:tr>
      <w:tr w:rsidR="009A4562" w14:paraId="5A1BBD40" w14:textId="77777777" w:rsidTr="002B356F">
        <w:trPr>
          <w:trHeight w:val="340"/>
          <w:jc w:val="center"/>
        </w:trPr>
        <w:tc>
          <w:tcPr>
            <w:tcW w:w="1706" w:type="dxa"/>
            <w:vAlign w:val="center"/>
          </w:tcPr>
          <w:p w14:paraId="2981F0D3" w14:textId="4C4DE802" w:rsidR="009A4562" w:rsidRPr="003F2E71" w:rsidRDefault="009A4562" w:rsidP="002B356F">
            <w:pPr>
              <w:jc w:val="center"/>
              <w:rPr>
                <w:b/>
                <w:bCs/>
              </w:rPr>
            </w:pPr>
            <w:r w:rsidRPr="00AB1B4B">
              <w:rPr>
                <w:b/>
                <w:bCs/>
              </w:rPr>
              <w:t xml:space="preserve">Déc. </w:t>
            </w:r>
            <w:r w:rsidRPr="003F2E71">
              <w:rPr>
                <w:b/>
                <w:bCs/>
              </w:rPr>
              <w:t>2015</w:t>
            </w:r>
          </w:p>
        </w:tc>
        <w:tc>
          <w:tcPr>
            <w:tcW w:w="3681" w:type="dxa"/>
            <w:vAlign w:val="center"/>
          </w:tcPr>
          <w:p w14:paraId="790087AB" w14:textId="06DF0877" w:rsidR="009A4562" w:rsidRDefault="009E42CA" w:rsidP="002B356F">
            <w:pPr>
              <w:jc w:val="center"/>
            </w:pPr>
            <w:r w:rsidRPr="009E42CA">
              <w:t xml:space="preserve">Environ </w:t>
            </w:r>
            <w:r w:rsidR="0017062E">
              <w:t>25</w:t>
            </w:r>
            <w:r w:rsidRPr="009E42CA">
              <w:t xml:space="preserve"> 000</w:t>
            </w:r>
          </w:p>
        </w:tc>
        <w:tc>
          <w:tcPr>
            <w:tcW w:w="2835" w:type="dxa"/>
            <w:vAlign w:val="center"/>
          </w:tcPr>
          <w:p w14:paraId="2461B418" w14:textId="46196E6F" w:rsidR="009A4562" w:rsidRDefault="009A4562" w:rsidP="002B356F">
            <w:pPr>
              <w:jc w:val="center"/>
            </w:pPr>
            <w:r w:rsidRPr="009A4562">
              <w:rPr>
                <w:rFonts w:ascii="Arial" w:hAnsi="Arial" w:cs="Arial"/>
                <w:color w:val="808080" w:themeColor="background1" w:themeShade="80"/>
              </w:rPr>
              <w:t>Ø</w:t>
            </w:r>
          </w:p>
        </w:tc>
      </w:tr>
      <w:tr w:rsidR="009A4562" w14:paraId="3C7BE038" w14:textId="77777777" w:rsidTr="002B356F">
        <w:trPr>
          <w:trHeight w:val="340"/>
          <w:jc w:val="center"/>
        </w:trPr>
        <w:tc>
          <w:tcPr>
            <w:tcW w:w="1706" w:type="dxa"/>
            <w:vAlign w:val="center"/>
          </w:tcPr>
          <w:p w14:paraId="753813F1" w14:textId="1476672A" w:rsidR="009A4562" w:rsidRPr="003F2E71" w:rsidRDefault="009A4562" w:rsidP="002B356F">
            <w:pPr>
              <w:jc w:val="center"/>
              <w:rPr>
                <w:b/>
                <w:bCs/>
              </w:rPr>
            </w:pPr>
            <w:r w:rsidRPr="00AB1B4B">
              <w:rPr>
                <w:b/>
                <w:bCs/>
              </w:rPr>
              <w:t xml:space="preserve">Déc. </w:t>
            </w:r>
            <w:r w:rsidRPr="003F2E71">
              <w:rPr>
                <w:b/>
                <w:bCs/>
              </w:rPr>
              <w:t>2016</w:t>
            </w:r>
          </w:p>
        </w:tc>
        <w:tc>
          <w:tcPr>
            <w:tcW w:w="3681" w:type="dxa"/>
            <w:vAlign w:val="center"/>
          </w:tcPr>
          <w:p w14:paraId="036200A3" w14:textId="5ADB2E4F" w:rsidR="009A4562" w:rsidRDefault="009E42CA" w:rsidP="002B356F">
            <w:pPr>
              <w:jc w:val="center"/>
            </w:pPr>
            <w:r w:rsidRPr="009E42CA">
              <w:t xml:space="preserve">Environ </w:t>
            </w:r>
            <w:r w:rsidR="005B341F">
              <w:t>38</w:t>
            </w:r>
            <w:r w:rsidRPr="009E42CA">
              <w:t xml:space="preserve"> 000</w:t>
            </w:r>
          </w:p>
        </w:tc>
        <w:tc>
          <w:tcPr>
            <w:tcW w:w="2835" w:type="dxa"/>
            <w:vAlign w:val="center"/>
          </w:tcPr>
          <w:p w14:paraId="61BF18E5" w14:textId="65BC6DB3" w:rsidR="009A4562" w:rsidRDefault="009A4562" w:rsidP="002B356F">
            <w:pPr>
              <w:jc w:val="center"/>
            </w:pPr>
            <w:r w:rsidRPr="009A4562">
              <w:rPr>
                <w:rFonts w:ascii="Arial" w:hAnsi="Arial" w:cs="Arial"/>
                <w:color w:val="808080" w:themeColor="background1" w:themeShade="80"/>
              </w:rPr>
              <w:t>Ø</w:t>
            </w:r>
          </w:p>
        </w:tc>
      </w:tr>
      <w:tr w:rsidR="009A4562" w14:paraId="1377124B" w14:textId="77777777" w:rsidTr="002B356F">
        <w:trPr>
          <w:trHeight w:val="340"/>
          <w:jc w:val="center"/>
        </w:trPr>
        <w:tc>
          <w:tcPr>
            <w:tcW w:w="1706" w:type="dxa"/>
            <w:vAlign w:val="center"/>
          </w:tcPr>
          <w:p w14:paraId="7755920B" w14:textId="58AAC888" w:rsidR="009A4562" w:rsidRPr="003F2E71" w:rsidRDefault="009A4562" w:rsidP="002B356F">
            <w:pPr>
              <w:jc w:val="center"/>
              <w:rPr>
                <w:b/>
                <w:bCs/>
              </w:rPr>
            </w:pPr>
            <w:r w:rsidRPr="00AB1B4B">
              <w:rPr>
                <w:b/>
                <w:bCs/>
              </w:rPr>
              <w:t xml:space="preserve">Déc. </w:t>
            </w:r>
            <w:r w:rsidRPr="003F2E71">
              <w:rPr>
                <w:b/>
                <w:bCs/>
              </w:rPr>
              <w:t>2017</w:t>
            </w:r>
          </w:p>
        </w:tc>
        <w:tc>
          <w:tcPr>
            <w:tcW w:w="3681" w:type="dxa"/>
            <w:vAlign w:val="center"/>
          </w:tcPr>
          <w:p w14:paraId="28D097B3" w14:textId="1A9663D3" w:rsidR="009A4562" w:rsidRDefault="009E42CA" w:rsidP="002B356F">
            <w:pPr>
              <w:jc w:val="center"/>
            </w:pPr>
            <w:r w:rsidRPr="009E42CA">
              <w:t xml:space="preserve">Environ </w:t>
            </w:r>
            <w:r w:rsidR="005B341F">
              <w:t>51</w:t>
            </w:r>
            <w:r w:rsidRPr="009E42CA">
              <w:t xml:space="preserve"> 000</w:t>
            </w:r>
          </w:p>
        </w:tc>
        <w:tc>
          <w:tcPr>
            <w:tcW w:w="2835" w:type="dxa"/>
            <w:vAlign w:val="center"/>
          </w:tcPr>
          <w:p w14:paraId="6558707D" w14:textId="08C94C77" w:rsidR="009A4562" w:rsidRDefault="009A4562" w:rsidP="002B356F">
            <w:pPr>
              <w:jc w:val="center"/>
            </w:pPr>
            <w:r w:rsidRPr="009A4562">
              <w:rPr>
                <w:rFonts w:ascii="Arial" w:hAnsi="Arial" w:cs="Arial"/>
                <w:color w:val="808080" w:themeColor="background1" w:themeShade="80"/>
              </w:rPr>
              <w:t>Ø</w:t>
            </w:r>
          </w:p>
        </w:tc>
      </w:tr>
      <w:tr w:rsidR="009A4562" w14:paraId="7E06149B" w14:textId="77777777" w:rsidTr="002B356F">
        <w:trPr>
          <w:trHeight w:val="340"/>
          <w:jc w:val="center"/>
        </w:trPr>
        <w:tc>
          <w:tcPr>
            <w:tcW w:w="1706" w:type="dxa"/>
            <w:vAlign w:val="center"/>
          </w:tcPr>
          <w:p w14:paraId="5A0593AC" w14:textId="1CFA450E" w:rsidR="009A4562" w:rsidRPr="003F2E71" w:rsidRDefault="009A4562" w:rsidP="002B356F">
            <w:pPr>
              <w:jc w:val="center"/>
              <w:rPr>
                <w:b/>
                <w:bCs/>
              </w:rPr>
            </w:pPr>
            <w:r w:rsidRPr="00AB1B4B">
              <w:rPr>
                <w:b/>
                <w:bCs/>
              </w:rPr>
              <w:t xml:space="preserve">Déc. </w:t>
            </w:r>
            <w:r w:rsidRPr="003F2E71">
              <w:rPr>
                <w:b/>
                <w:bCs/>
              </w:rPr>
              <w:t>2018</w:t>
            </w:r>
          </w:p>
        </w:tc>
        <w:tc>
          <w:tcPr>
            <w:tcW w:w="3681" w:type="dxa"/>
            <w:vAlign w:val="center"/>
          </w:tcPr>
          <w:p w14:paraId="22FF11D1" w14:textId="1BBD92EA" w:rsidR="009A4562" w:rsidRDefault="009E42CA" w:rsidP="002B356F">
            <w:pPr>
              <w:jc w:val="center"/>
            </w:pPr>
            <w:r w:rsidRPr="009E42CA">
              <w:t xml:space="preserve">Environ </w:t>
            </w:r>
            <w:r w:rsidR="00016574">
              <w:t>65</w:t>
            </w:r>
            <w:r w:rsidRPr="009E42CA">
              <w:t xml:space="preserve"> 000</w:t>
            </w:r>
          </w:p>
        </w:tc>
        <w:tc>
          <w:tcPr>
            <w:tcW w:w="2835" w:type="dxa"/>
            <w:vAlign w:val="center"/>
          </w:tcPr>
          <w:p w14:paraId="2E5B3AB8" w14:textId="5EF2B7FF" w:rsidR="009A4562" w:rsidRDefault="009A4562" w:rsidP="002B356F">
            <w:pPr>
              <w:jc w:val="center"/>
            </w:pPr>
            <w:r>
              <w:t>2</w:t>
            </w:r>
            <w:r w:rsidR="003F646A">
              <w:t>5</w:t>
            </w:r>
            <w:r w:rsidR="0031370A" w:rsidRPr="0031370A">
              <w:rPr>
                <w:vertAlign w:val="superscript"/>
              </w:rPr>
              <w:t>1</w:t>
            </w:r>
          </w:p>
        </w:tc>
      </w:tr>
      <w:tr w:rsidR="009A4562" w14:paraId="0D916387" w14:textId="77777777" w:rsidTr="002B356F">
        <w:trPr>
          <w:trHeight w:val="340"/>
          <w:jc w:val="center"/>
        </w:trPr>
        <w:tc>
          <w:tcPr>
            <w:tcW w:w="1706" w:type="dxa"/>
            <w:vAlign w:val="center"/>
          </w:tcPr>
          <w:p w14:paraId="4A51761E" w14:textId="1D266611" w:rsidR="009A4562" w:rsidRPr="003F2E71" w:rsidRDefault="009A4562" w:rsidP="002B356F">
            <w:pPr>
              <w:jc w:val="center"/>
              <w:rPr>
                <w:b/>
                <w:bCs/>
              </w:rPr>
            </w:pPr>
            <w:r w:rsidRPr="00AB1B4B">
              <w:rPr>
                <w:b/>
                <w:bCs/>
              </w:rPr>
              <w:t xml:space="preserve">Déc. </w:t>
            </w:r>
            <w:r w:rsidRPr="003F2E71">
              <w:rPr>
                <w:b/>
                <w:bCs/>
              </w:rPr>
              <w:t>2019</w:t>
            </w:r>
          </w:p>
        </w:tc>
        <w:tc>
          <w:tcPr>
            <w:tcW w:w="3681" w:type="dxa"/>
            <w:vAlign w:val="center"/>
          </w:tcPr>
          <w:p w14:paraId="322D47D3" w14:textId="32BD8316" w:rsidR="009A4562" w:rsidRDefault="009E42CA" w:rsidP="002B356F">
            <w:pPr>
              <w:jc w:val="center"/>
            </w:pPr>
            <w:r w:rsidRPr="009E42CA">
              <w:t xml:space="preserve">Environ </w:t>
            </w:r>
            <w:r w:rsidR="00016574">
              <w:t>7</w:t>
            </w:r>
            <w:r w:rsidRPr="009E42CA">
              <w:t>0 000</w:t>
            </w:r>
          </w:p>
        </w:tc>
        <w:tc>
          <w:tcPr>
            <w:tcW w:w="2835" w:type="dxa"/>
            <w:vAlign w:val="center"/>
          </w:tcPr>
          <w:p w14:paraId="0E2924D9" w14:textId="20899512" w:rsidR="009A4562" w:rsidRDefault="003F646A" w:rsidP="002B356F">
            <w:pPr>
              <w:jc w:val="center"/>
            </w:pPr>
            <w:r>
              <w:t>437</w:t>
            </w:r>
            <w:r w:rsidR="0031370A" w:rsidRPr="0031370A">
              <w:rPr>
                <w:vertAlign w:val="superscript"/>
              </w:rPr>
              <w:t>1</w:t>
            </w:r>
          </w:p>
        </w:tc>
      </w:tr>
      <w:tr w:rsidR="009A4562" w14:paraId="464EB99F" w14:textId="77777777" w:rsidTr="002B356F">
        <w:trPr>
          <w:trHeight w:val="340"/>
          <w:jc w:val="center"/>
        </w:trPr>
        <w:tc>
          <w:tcPr>
            <w:tcW w:w="1706" w:type="dxa"/>
            <w:vAlign w:val="center"/>
          </w:tcPr>
          <w:p w14:paraId="570CB56A" w14:textId="7D7AC923" w:rsidR="009A4562" w:rsidRPr="00AB1B4B" w:rsidRDefault="009A4562" w:rsidP="002B356F">
            <w:pPr>
              <w:jc w:val="center"/>
              <w:rPr>
                <w:b/>
                <w:bCs/>
              </w:rPr>
            </w:pPr>
            <w:r w:rsidRPr="00AB1B4B">
              <w:rPr>
                <w:b/>
                <w:bCs/>
              </w:rPr>
              <w:t>Déc.</w:t>
            </w:r>
            <w:r>
              <w:rPr>
                <w:b/>
                <w:bCs/>
              </w:rPr>
              <w:t xml:space="preserve"> 2020</w:t>
            </w:r>
          </w:p>
        </w:tc>
        <w:tc>
          <w:tcPr>
            <w:tcW w:w="3681" w:type="dxa"/>
            <w:vAlign w:val="center"/>
          </w:tcPr>
          <w:p w14:paraId="1D988A63" w14:textId="0CF78858" w:rsidR="009A4562" w:rsidRDefault="009E42CA" w:rsidP="002B356F">
            <w:pPr>
              <w:jc w:val="center"/>
            </w:pPr>
            <w:r>
              <w:t>83 840</w:t>
            </w:r>
            <w:r w:rsidR="0031370A" w:rsidRPr="0031370A">
              <w:rPr>
                <w:vertAlign w:val="superscript"/>
              </w:rPr>
              <w:t>2</w:t>
            </w:r>
          </w:p>
        </w:tc>
        <w:tc>
          <w:tcPr>
            <w:tcW w:w="2835" w:type="dxa"/>
            <w:vAlign w:val="center"/>
          </w:tcPr>
          <w:p w14:paraId="0001BA81" w14:textId="4CA5BAAE" w:rsidR="009A4562" w:rsidRDefault="003F646A" w:rsidP="002B356F">
            <w:pPr>
              <w:jc w:val="center"/>
            </w:pPr>
            <w:r>
              <w:t>17 596</w:t>
            </w:r>
            <w:r w:rsidR="0031370A" w:rsidRPr="0031370A">
              <w:rPr>
                <w:vertAlign w:val="superscript"/>
              </w:rPr>
              <w:t>2</w:t>
            </w:r>
          </w:p>
        </w:tc>
      </w:tr>
    </w:tbl>
    <w:p w14:paraId="6A0B324A" w14:textId="4550AA79" w:rsidR="0050392D" w:rsidRDefault="0031370A" w:rsidP="002B356F">
      <w:pPr>
        <w:spacing w:before="120"/>
        <w:rPr>
          <w:color w:val="595959" w:themeColor="text1" w:themeTint="A6"/>
          <w:sz w:val="18"/>
          <w:szCs w:val="18"/>
        </w:rPr>
      </w:pPr>
      <w:r w:rsidRPr="0050392D">
        <w:rPr>
          <w:color w:val="595959" w:themeColor="text1" w:themeTint="A6"/>
          <w:sz w:val="18"/>
          <w:szCs w:val="18"/>
        </w:rPr>
        <w:t>Source : Observatoire de l’Agence Nationale des Fréquences (ANFR).</w:t>
      </w:r>
      <w:r w:rsidR="006E0903" w:rsidRPr="0050392D">
        <w:rPr>
          <w:color w:val="595959" w:themeColor="text1" w:themeTint="A6"/>
          <w:sz w:val="18"/>
          <w:szCs w:val="18"/>
        </w:rPr>
        <w:t xml:space="preserve"> </w:t>
      </w:r>
      <w:r w:rsidRPr="0050392D">
        <w:rPr>
          <w:color w:val="595959" w:themeColor="text1" w:themeTint="A6"/>
          <w:sz w:val="18"/>
          <w:szCs w:val="18"/>
        </w:rPr>
        <w:t>(1) Expérimentations.</w:t>
      </w:r>
      <w:r w:rsidR="006E0903" w:rsidRPr="0050392D">
        <w:rPr>
          <w:color w:val="595959" w:themeColor="text1" w:themeTint="A6"/>
          <w:sz w:val="18"/>
          <w:szCs w:val="18"/>
        </w:rPr>
        <w:t xml:space="preserve"> </w:t>
      </w:r>
      <w:r w:rsidRPr="0050392D">
        <w:rPr>
          <w:color w:val="595959" w:themeColor="text1" w:themeTint="A6"/>
          <w:sz w:val="18"/>
          <w:szCs w:val="18"/>
        </w:rPr>
        <w:t>(2) Chiffres au 1</w:t>
      </w:r>
      <w:r w:rsidRPr="00476A42">
        <w:rPr>
          <w:color w:val="595959" w:themeColor="text1" w:themeTint="A6"/>
          <w:sz w:val="18"/>
          <w:szCs w:val="18"/>
          <w:vertAlign w:val="superscript"/>
        </w:rPr>
        <w:t>er</w:t>
      </w:r>
      <w:r w:rsidR="00476A42">
        <w:rPr>
          <w:color w:val="595959" w:themeColor="text1" w:themeTint="A6"/>
          <w:sz w:val="18"/>
          <w:szCs w:val="18"/>
        </w:rPr>
        <w:t xml:space="preserve"> </w:t>
      </w:r>
      <w:r w:rsidRPr="0050392D">
        <w:rPr>
          <w:color w:val="595959" w:themeColor="text1" w:themeTint="A6"/>
          <w:sz w:val="18"/>
          <w:szCs w:val="18"/>
        </w:rPr>
        <w:t>décembre 2020.</w:t>
      </w:r>
    </w:p>
    <w:p w14:paraId="692264C4" w14:textId="77777777" w:rsidR="0050392D" w:rsidRDefault="0050392D">
      <w:pPr>
        <w:rPr>
          <w:color w:val="595959" w:themeColor="text1" w:themeTint="A6"/>
          <w:sz w:val="18"/>
          <w:szCs w:val="18"/>
        </w:rPr>
      </w:pPr>
      <w:r>
        <w:rPr>
          <w:color w:val="595959" w:themeColor="text1" w:themeTint="A6"/>
          <w:sz w:val="18"/>
          <w:szCs w:val="18"/>
        </w:rPr>
        <w:br w:type="page"/>
      </w:r>
    </w:p>
    <w:p w14:paraId="030713AC" w14:textId="49D70F1B" w:rsidR="0031370A" w:rsidRDefault="0055646A" w:rsidP="00071077">
      <w:pPr>
        <w:pStyle w:val="Titre3"/>
      </w:pPr>
      <w:r>
        <w:lastRenderedPageBreak/>
        <w:t>Essor de la donnée mobile</w:t>
      </w:r>
    </w:p>
    <w:p w14:paraId="0313CC0A" w14:textId="0083047B" w:rsidR="0055646A" w:rsidRDefault="0055646A" w:rsidP="0055646A">
      <w:pPr>
        <w:spacing w:before="240"/>
      </w:pPr>
      <w:r>
        <w:t>Seuil de 10 Go consommés par mois par utilisateur 4G franchi début 2020.</w:t>
      </w:r>
    </w:p>
    <w:tbl>
      <w:tblPr>
        <w:tblStyle w:val="Grilledutableau"/>
        <w:tblW w:w="0" w:type="auto"/>
        <w:jc w:val="center"/>
        <w:tblLook w:val="04A0" w:firstRow="1" w:lastRow="0" w:firstColumn="1" w:lastColumn="0" w:noHBand="0" w:noVBand="1"/>
      </w:tblPr>
      <w:tblGrid>
        <w:gridCol w:w="2258"/>
        <w:gridCol w:w="1893"/>
        <w:gridCol w:w="3079"/>
      </w:tblGrid>
      <w:tr w:rsidR="00ED18F6" w14:paraId="6BA8E2FC" w14:textId="77777777" w:rsidTr="0050392D">
        <w:trPr>
          <w:trHeight w:val="510"/>
          <w:jc w:val="center"/>
        </w:trPr>
        <w:tc>
          <w:tcPr>
            <w:tcW w:w="2258" w:type="dxa"/>
            <w:shd w:val="clear" w:color="auto" w:fill="EBF0F5"/>
            <w:vAlign w:val="center"/>
          </w:tcPr>
          <w:p w14:paraId="735F990D" w14:textId="77777777" w:rsidR="00ED18F6" w:rsidRPr="003F2E71" w:rsidRDefault="00ED18F6" w:rsidP="00633AF2">
            <w:pPr>
              <w:jc w:val="center"/>
              <w:rPr>
                <w:b/>
                <w:bCs/>
              </w:rPr>
            </w:pPr>
            <w:r>
              <w:rPr>
                <w:b/>
                <w:bCs/>
              </w:rPr>
              <w:t>Date</w:t>
            </w:r>
          </w:p>
        </w:tc>
        <w:tc>
          <w:tcPr>
            <w:tcW w:w="1893" w:type="dxa"/>
            <w:shd w:val="clear" w:color="auto" w:fill="EBF0F5"/>
            <w:vAlign w:val="center"/>
          </w:tcPr>
          <w:p w14:paraId="357F89B9" w14:textId="112B1D9C" w:rsidR="00ED18F6" w:rsidRPr="003F2E71" w:rsidRDefault="00ED18F6" w:rsidP="00633AF2">
            <w:pPr>
              <w:jc w:val="center"/>
              <w:rPr>
                <w:b/>
                <w:bCs/>
              </w:rPr>
            </w:pPr>
            <w:r w:rsidRPr="008E0749">
              <w:rPr>
                <w:b/>
                <w:bCs/>
              </w:rPr>
              <w:t>Nombre de cartes SIM 4G</w:t>
            </w:r>
          </w:p>
        </w:tc>
        <w:tc>
          <w:tcPr>
            <w:tcW w:w="3079" w:type="dxa"/>
            <w:shd w:val="clear" w:color="auto" w:fill="EBF0F5"/>
            <w:vAlign w:val="center"/>
          </w:tcPr>
          <w:p w14:paraId="78D35DBD" w14:textId="1E19F6BB" w:rsidR="00ED18F6" w:rsidRPr="003F2E71" w:rsidRDefault="00ED18F6" w:rsidP="00633AF2">
            <w:pPr>
              <w:jc w:val="center"/>
              <w:rPr>
                <w:b/>
                <w:bCs/>
              </w:rPr>
            </w:pPr>
            <w:r w:rsidRPr="008E0749">
              <w:rPr>
                <w:b/>
                <w:bCs/>
              </w:rPr>
              <w:t>Consommation de données 4G</w:t>
            </w:r>
            <w:r w:rsidRPr="008E0749">
              <w:rPr>
                <w:b/>
                <w:bCs/>
                <w:vertAlign w:val="superscript"/>
              </w:rPr>
              <w:t>1</w:t>
            </w:r>
            <w:r w:rsidRPr="008E0749">
              <w:rPr>
                <w:b/>
                <w:bCs/>
              </w:rPr>
              <w:t xml:space="preserve"> Moyenne mensuelle</w:t>
            </w:r>
            <w:r>
              <w:rPr>
                <w:b/>
                <w:bCs/>
              </w:rPr>
              <w:t>.</w:t>
            </w:r>
          </w:p>
        </w:tc>
      </w:tr>
      <w:tr w:rsidR="00ED18F6" w14:paraId="691C57E1" w14:textId="77777777" w:rsidTr="0050392D">
        <w:trPr>
          <w:trHeight w:val="510"/>
          <w:jc w:val="center"/>
        </w:trPr>
        <w:tc>
          <w:tcPr>
            <w:tcW w:w="2258" w:type="dxa"/>
            <w:vAlign w:val="center"/>
          </w:tcPr>
          <w:p w14:paraId="4918C852" w14:textId="77777777" w:rsidR="00ED18F6" w:rsidRDefault="00ED18F6" w:rsidP="00633AF2">
            <w:pPr>
              <w:jc w:val="center"/>
            </w:pPr>
            <w:r>
              <w:t>2</w:t>
            </w:r>
            <w:r w:rsidRPr="00DF5EEA">
              <w:rPr>
                <w:vertAlign w:val="superscript"/>
              </w:rPr>
              <w:t>ème</w:t>
            </w:r>
            <w:r>
              <w:t xml:space="preserve"> trimestre 2017</w:t>
            </w:r>
          </w:p>
        </w:tc>
        <w:tc>
          <w:tcPr>
            <w:tcW w:w="1893" w:type="dxa"/>
            <w:vAlign w:val="center"/>
          </w:tcPr>
          <w:p w14:paraId="56C9C57C" w14:textId="429A6EEE" w:rsidR="00ED18F6" w:rsidRPr="00ED18F6" w:rsidRDefault="00ED18F6" w:rsidP="00633AF2">
            <w:pPr>
              <w:jc w:val="center"/>
            </w:pPr>
            <w:r>
              <w:t>37 millions</w:t>
            </w:r>
          </w:p>
        </w:tc>
        <w:tc>
          <w:tcPr>
            <w:tcW w:w="3079" w:type="dxa"/>
            <w:vAlign w:val="center"/>
          </w:tcPr>
          <w:p w14:paraId="15A9FBC5" w14:textId="6AF7F978" w:rsidR="00ED18F6" w:rsidRPr="00ED18F6" w:rsidRDefault="00ED18F6" w:rsidP="00633AF2">
            <w:pPr>
              <w:jc w:val="center"/>
            </w:pPr>
            <w:r>
              <w:t>4,6 Go</w:t>
            </w:r>
          </w:p>
        </w:tc>
      </w:tr>
      <w:tr w:rsidR="00ED18F6" w14:paraId="6B52070E" w14:textId="77777777" w:rsidTr="0050392D">
        <w:trPr>
          <w:trHeight w:val="510"/>
          <w:jc w:val="center"/>
        </w:trPr>
        <w:tc>
          <w:tcPr>
            <w:tcW w:w="2258" w:type="dxa"/>
            <w:vAlign w:val="center"/>
          </w:tcPr>
          <w:p w14:paraId="7F6446BA" w14:textId="77777777" w:rsidR="00ED18F6" w:rsidRDefault="00ED18F6" w:rsidP="00633AF2">
            <w:pPr>
              <w:jc w:val="center"/>
            </w:pPr>
            <w:r>
              <w:t>2</w:t>
            </w:r>
            <w:r w:rsidRPr="00DF5EEA">
              <w:rPr>
                <w:vertAlign w:val="superscript"/>
              </w:rPr>
              <w:t>ème</w:t>
            </w:r>
            <w:r>
              <w:t xml:space="preserve"> trimestre 2020</w:t>
            </w:r>
          </w:p>
        </w:tc>
        <w:tc>
          <w:tcPr>
            <w:tcW w:w="1893" w:type="dxa"/>
            <w:vAlign w:val="center"/>
          </w:tcPr>
          <w:p w14:paraId="44FA454E" w14:textId="593CCE67" w:rsidR="00ED18F6" w:rsidRPr="00ED18F6" w:rsidRDefault="00ED18F6" w:rsidP="00633AF2">
            <w:pPr>
              <w:jc w:val="center"/>
            </w:pPr>
            <w:r>
              <w:t>57</w:t>
            </w:r>
          </w:p>
        </w:tc>
        <w:tc>
          <w:tcPr>
            <w:tcW w:w="3079" w:type="dxa"/>
            <w:vAlign w:val="center"/>
          </w:tcPr>
          <w:p w14:paraId="5041A55D" w14:textId="4B7AB420" w:rsidR="00ED18F6" w:rsidRPr="00ED18F6" w:rsidRDefault="00ED18F6" w:rsidP="0050392D">
            <w:pPr>
              <w:jc w:val="center"/>
            </w:pPr>
            <w:r>
              <w:t>10,2 Go</w:t>
            </w:r>
            <w:r w:rsidR="0050392D">
              <w:t xml:space="preserve"> </w:t>
            </w:r>
            <w:r>
              <w:t>(+ 30 % par an)</w:t>
            </w:r>
          </w:p>
        </w:tc>
      </w:tr>
    </w:tbl>
    <w:p w14:paraId="47A8F2DF" w14:textId="77777777" w:rsidR="00AF1FFE" w:rsidRDefault="00071077" w:rsidP="00071077">
      <w:pPr>
        <w:spacing w:before="240"/>
      </w:pPr>
      <w:r>
        <w:t>10,2 Go = Équivalent à 375 heures de streaming de musique ou 10 heures de streaming vidéo.</w:t>
      </w:r>
    </w:p>
    <w:p w14:paraId="5DA4BD81" w14:textId="4A4EAF53" w:rsidR="0050392D" w:rsidRPr="00AF1FFE" w:rsidRDefault="00071077" w:rsidP="00071077">
      <w:pPr>
        <w:spacing w:before="240"/>
        <w:rPr>
          <w:color w:val="595959" w:themeColor="text1" w:themeTint="A6"/>
          <w:sz w:val="18"/>
          <w:szCs w:val="18"/>
        </w:rPr>
      </w:pPr>
      <w:r w:rsidRPr="00AF1FFE">
        <w:rPr>
          <w:color w:val="595959" w:themeColor="text1" w:themeTint="A6"/>
          <w:sz w:val="18"/>
          <w:szCs w:val="18"/>
        </w:rPr>
        <w:t>Source : Arcep, opérateurs, analyse Arthur D. Little. (1) Consommation par carte active 4G.</w:t>
      </w:r>
    </w:p>
    <w:p w14:paraId="6CF96502" w14:textId="77777777" w:rsidR="0050392D" w:rsidRDefault="0050392D">
      <w:r>
        <w:br w:type="page"/>
      </w:r>
    </w:p>
    <w:p w14:paraId="58DCC887" w14:textId="44D9DB55" w:rsidR="00071077" w:rsidRDefault="00F0256D" w:rsidP="00AF1FFE">
      <w:pPr>
        <w:pStyle w:val="Titre1"/>
      </w:pPr>
      <w:r>
        <w:lastRenderedPageBreak/>
        <w:t>Des prix historiquement bas</w:t>
      </w:r>
    </w:p>
    <w:p w14:paraId="74C029B0" w14:textId="42A02153" w:rsidR="00F0256D" w:rsidRDefault="00F0256D" w:rsidP="00F0256D">
      <w:pPr>
        <w:pStyle w:val="Titre2"/>
      </w:pPr>
      <w:r w:rsidRPr="00F0256D">
        <w:t>La France a les prix les plus bas des grands pays occidentaux</w:t>
      </w:r>
    </w:p>
    <w:p w14:paraId="142B54EE" w14:textId="3531AB48" w:rsidR="00F0256D" w:rsidRDefault="00F0256D" w:rsidP="00F0256D">
      <w:pPr>
        <w:spacing w:before="240"/>
      </w:pPr>
      <w:r>
        <w:t>Comparaison des offres fixe et mobile d’opérateurs leaders. Sélection de pays, septembre 2020, euros TTC/mois.</w:t>
      </w:r>
    </w:p>
    <w:p w14:paraId="4D84BAC1" w14:textId="03612AEA" w:rsidR="00A3348C" w:rsidRPr="00A3348C" w:rsidRDefault="00A3348C" w:rsidP="0050392D">
      <w:pPr>
        <w:spacing w:before="240" w:after="120"/>
        <w:jc w:val="center"/>
        <w:rPr>
          <w:b/>
          <w:bCs/>
        </w:rPr>
      </w:pPr>
      <w:r w:rsidRPr="00A3348C">
        <w:rPr>
          <w:b/>
          <w:bCs/>
        </w:rPr>
        <w:t>Fixe (</w:t>
      </w:r>
      <w:r w:rsidRPr="00A3348C">
        <w:rPr>
          <w:b/>
          <w:bCs/>
          <w:i/>
          <w:iCs/>
        </w:rPr>
        <w:t xml:space="preserve">triple </w:t>
      </w:r>
      <w:proofErr w:type="spellStart"/>
      <w:r w:rsidRPr="00A3348C">
        <w:rPr>
          <w:b/>
          <w:bCs/>
          <w:i/>
          <w:iCs/>
        </w:rPr>
        <w:t>play</w:t>
      </w:r>
      <w:proofErr w:type="spellEnd"/>
      <w:r w:rsidRPr="00A3348C">
        <w:rPr>
          <w:b/>
          <w:bCs/>
        </w:rPr>
        <w:t>)</w:t>
      </w:r>
      <w:r w:rsidRPr="00A3348C">
        <w:rPr>
          <w:b/>
          <w:bCs/>
          <w:vertAlign w:val="superscript"/>
        </w:rPr>
        <w:t>1</w:t>
      </w:r>
      <w:r w:rsidRPr="00A3348C">
        <w:rPr>
          <w:b/>
          <w:bCs/>
        </w:rPr>
        <w:t> :</w:t>
      </w:r>
    </w:p>
    <w:tbl>
      <w:tblPr>
        <w:tblStyle w:val="Grilledutableau"/>
        <w:tblW w:w="0" w:type="auto"/>
        <w:jc w:val="center"/>
        <w:tblLook w:val="04A0" w:firstRow="1" w:lastRow="0" w:firstColumn="1" w:lastColumn="0" w:noHBand="0" w:noVBand="1"/>
      </w:tblPr>
      <w:tblGrid>
        <w:gridCol w:w="2268"/>
        <w:gridCol w:w="1701"/>
      </w:tblGrid>
      <w:tr w:rsidR="00A3348C" w14:paraId="1E0CEE3F" w14:textId="77777777" w:rsidTr="0050392D">
        <w:trPr>
          <w:jc w:val="center"/>
        </w:trPr>
        <w:tc>
          <w:tcPr>
            <w:tcW w:w="2268" w:type="dxa"/>
            <w:shd w:val="clear" w:color="auto" w:fill="EBF0F5"/>
          </w:tcPr>
          <w:p w14:paraId="52100627" w14:textId="77777777" w:rsidR="00A3348C" w:rsidRPr="003F2E71" w:rsidRDefault="00A3348C" w:rsidP="0050392D">
            <w:pPr>
              <w:jc w:val="center"/>
              <w:rPr>
                <w:b/>
                <w:bCs/>
              </w:rPr>
            </w:pPr>
            <w:r>
              <w:rPr>
                <w:b/>
                <w:bCs/>
              </w:rPr>
              <w:t>Pays</w:t>
            </w:r>
          </w:p>
        </w:tc>
        <w:tc>
          <w:tcPr>
            <w:tcW w:w="1701" w:type="dxa"/>
            <w:shd w:val="clear" w:color="auto" w:fill="EBF0F5"/>
          </w:tcPr>
          <w:p w14:paraId="4BC8E5A0" w14:textId="560E9D14" w:rsidR="00A3348C" w:rsidRPr="003F2E71" w:rsidRDefault="00A3348C" w:rsidP="0050392D">
            <w:pPr>
              <w:jc w:val="center"/>
              <w:rPr>
                <w:b/>
                <w:bCs/>
              </w:rPr>
            </w:pPr>
            <w:r>
              <w:rPr>
                <w:b/>
                <w:bCs/>
              </w:rPr>
              <w:t>Prix</w:t>
            </w:r>
          </w:p>
        </w:tc>
      </w:tr>
      <w:tr w:rsidR="00A3348C" w14:paraId="509693D7" w14:textId="77777777" w:rsidTr="0050392D">
        <w:trPr>
          <w:jc w:val="center"/>
        </w:trPr>
        <w:tc>
          <w:tcPr>
            <w:tcW w:w="2268" w:type="dxa"/>
          </w:tcPr>
          <w:p w14:paraId="711CAAD8" w14:textId="1FC5BC5C" w:rsidR="00A3348C" w:rsidRDefault="00A3348C" w:rsidP="0050392D">
            <w:pPr>
              <w:jc w:val="center"/>
            </w:pPr>
            <w:r>
              <w:t>Pologne</w:t>
            </w:r>
          </w:p>
        </w:tc>
        <w:tc>
          <w:tcPr>
            <w:tcW w:w="1701" w:type="dxa"/>
          </w:tcPr>
          <w:p w14:paraId="73D31701" w14:textId="36FFE508" w:rsidR="00A3348C" w:rsidRDefault="00A3348C" w:rsidP="0050392D">
            <w:pPr>
              <w:jc w:val="center"/>
            </w:pPr>
            <w:r>
              <w:t>15 €</w:t>
            </w:r>
          </w:p>
        </w:tc>
      </w:tr>
      <w:tr w:rsidR="00A3348C" w14:paraId="2151824D" w14:textId="77777777" w:rsidTr="0050392D">
        <w:trPr>
          <w:jc w:val="center"/>
        </w:trPr>
        <w:tc>
          <w:tcPr>
            <w:tcW w:w="2268" w:type="dxa"/>
          </w:tcPr>
          <w:p w14:paraId="3BB28875" w14:textId="185360BB" w:rsidR="00A3348C" w:rsidRDefault="00055CD5" w:rsidP="0050392D">
            <w:pPr>
              <w:jc w:val="center"/>
            </w:pPr>
            <w:r>
              <w:t>France</w:t>
            </w:r>
          </w:p>
        </w:tc>
        <w:tc>
          <w:tcPr>
            <w:tcW w:w="1701" w:type="dxa"/>
          </w:tcPr>
          <w:p w14:paraId="4B29B2D1" w14:textId="783BDA42" w:rsidR="00A3348C" w:rsidRDefault="00A3348C" w:rsidP="0050392D">
            <w:pPr>
              <w:jc w:val="center"/>
            </w:pPr>
            <w:r>
              <w:t xml:space="preserve">25 </w:t>
            </w:r>
            <w:r w:rsidRPr="00A3348C">
              <w:t>€</w:t>
            </w:r>
          </w:p>
        </w:tc>
      </w:tr>
      <w:tr w:rsidR="00A3348C" w14:paraId="3F939A57" w14:textId="77777777" w:rsidTr="0050392D">
        <w:trPr>
          <w:jc w:val="center"/>
        </w:trPr>
        <w:tc>
          <w:tcPr>
            <w:tcW w:w="2268" w:type="dxa"/>
          </w:tcPr>
          <w:p w14:paraId="4F008FA6" w14:textId="31FB57A3" w:rsidR="00A3348C" w:rsidRDefault="00055CD5" w:rsidP="0050392D">
            <w:pPr>
              <w:jc w:val="center"/>
            </w:pPr>
            <w:r>
              <w:t>Italie</w:t>
            </w:r>
          </w:p>
        </w:tc>
        <w:tc>
          <w:tcPr>
            <w:tcW w:w="1701" w:type="dxa"/>
          </w:tcPr>
          <w:p w14:paraId="6393BEAD" w14:textId="10B7AC15" w:rsidR="00A3348C" w:rsidRDefault="00055CD5" w:rsidP="0050392D">
            <w:pPr>
              <w:jc w:val="center"/>
            </w:pPr>
            <w:r>
              <w:t>30</w:t>
            </w:r>
            <w:r w:rsidR="00A3348C" w:rsidRPr="00A3348C">
              <w:t xml:space="preserve"> €</w:t>
            </w:r>
          </w:p>
        </w:tc>
      </w:tr>
      <w:tr w:rsidR="00A3348C" w14:paraId="531DA500" w14:textId="77777777" w:rsidTr="0050392D">
        <w:trPr>
          <w:jc w:val="center"/>
        </w:trPr>
        <w:tc>
          <w:tcPr>
            <w:tcW w:w="2268" w:type="dxa"/>
          </w:tcPr>
          <w:p w14:paraId="1C94D4C6" w14:textId="063D82AC" w:rsidR="00A3348C" w:rsidRDefault="00055CD5" w:rsidP="0050392D">
            <w:pPr>
              <w:jc w:val="center"/>
            </w:pPr>
            <w:r>
              <w:t>Royaume-Uni</w:t>
            </w:r>
          </w:p>
        </w:tc>
        <w:tc>
          <w:tcPr>
            <w:tcW w:w="1701" w:type="dxa"/>
          </w:tcPr>
          <w:p w14:paraId="14B36941" w14:textId="5B17BD80" w:rsidR="00A3348C" w:rsidRDefault="00055CD5" w:rsidP="0050392D">
            <w:pPr>
              <w:jc w:val="center"/>
            </w:pPr>
            <w:r>
              <w:t>31</w:t>
            </w:r>
            <w:r w:rsidR="00A3348C">
              <w:t xml:space="preserve"> €</w:t>
            </w:r>
          </w:p>
        </w:tc>
      </w:tr>
      <w:tr w:rsidR="00A3348C" w14:paraId="7776C972" w14:textId="77777777" w:rsidTr="0050392D">
        <w:trPr>
          <w:jc w:val="center"/>
        </w:trPr>
        <w:tc>
          <w:tcPr>
            <w:tcW w:w="2268" w:type="dxa"/>
          </w:tcPr>
          <w:p w14:paraId="334FDC73" w14:textId="67E6C843" w:rsidR="00A3348C" w:rsidRDefault="00055CD5" w:rsidP="0050392D">
            <w:pPr>
              <w:jc w:val="center"/>
            </w:pPr>
            <w:r>
              <w:t>Espagne</w:t>
            </w:r>
          </w:p>
        </w:tc>
        <w:tc>
          <w:tcPr>
            <w:tcW w:w="1701" w:type="dxa"/>
          </w:tcPr>
          <w:p w14:paraId="19C8ED63" w14:textId="4988C0B4" w:rsidR="00A3348C" w:rsidRDefault="00055CD5" w:rsidP="0050392D">
            <w:pPr>
              <w:jc w:val="center"/>
            </w:pPr>
            <w:r>
              <w:t>44</w:t>
            </w:r>
            <w:r w:rsidR="00A3348C">
              <w:t xml:space="preserve"> €</w:t>
            </w:r>
          </w:p>
        </w:tc>
      </w:tr>
      <w:tr w:rsidR="00A3348C" w14:paraId="63803678" w14:textId="77777777" w:rsidTr="0050392D">
        <w:trPr>
          <w:jc w:val="center"/>
        </w:trPr>
        <w:tc>
          <w:tcPr>
            <w:tcW w:w="2268" w:type="dxa"/>
          </w:tcPr>
          <w:p w14:paraId="34F7C1E1" w14:textId="635E1E57" w:rsidR="00A3348C" w:rsidRDefault="008A5C38" w:rsidP="0050392D">
            <w:pPr>
              <w:jc w:val="center"/>
            </w:pPr>
            <w:r>
              <w:t>Allemagne</w:t>
            </w:r>
          </w:p>
        </w:tc>
        <w:tc>
          <w:tcPr>
            <w:tcW w:w="1701" w:type="dxa"/>
          </w:tcPr>
          <w:p w14:paraId="1FD5ADFB" w14:textId="54AA8858" w:rsidR="00A3348C" w:rsidRDefault="00055CD5" w:rsidP="0050392D">
            <w:pPr>
              <w:jc w:val="center"/>
            </w:pPr>
            <w:r>
              <w:t>45</w:t>
            </w:r>
            <w:r w:rsidR="00A3348C">
              <w:t xml:space="preserve"> €</w:t>
            </w:r>
          </w:p>
        </w:tc>
      </w:tr>
      <w:tr w:rsidR="00A3348C" w14:paraId="1947411F" w14:textId="77777777" w:rsidTr="0050392D">
        <w:trPr>
          <w:jc w:val="center"/>
        </w:trPr>
        <w:tc>
          <w:tcPr>
            <w:tcW w:w="2268" w:type="dxa"/>
          </w:tcPr>
          <w:p w14:paraId="2FC75377" w14:textId="13099FCE" w:rsidR="00A3348C" w:rsidRDefault="008A5C38" w:rsidP="0050392D">
            <w:pPr>
              <w:jc w:val="center"/>
            </w:pPr>
            <w:r>
              <w:t>États-Unis</w:t>
            </w:r>
          </w:p>
        </w:tc>
        <w:tc>
          <w:tcPr>
            <w:tcW w:w="1701" w:type="dxa"/>
          </w:tcPr>
          <w:p w14:paraId="0CD9C42A" w14:textId="2C62FFEC" w:rsidR="00A3348C" w:rsidRDefault="00055CD5" w:rsidP="0050392D">
            <w:pPr>
              <w:jc w:val="center"/>
            </w:pPr>
            <w:r>
              <w:t>94</w:t>
            </w:r>
            <w:r w:rsidR="00A3348C">
              <w:t xml:space="preserve"> €</w:t>
            </w:r>
          </w:p>
        </w:tc>
      </w:tr>
    </w:tbl>
    <w:p w14:paraId="2F27D7E1" w14:textId="41B7FC25" w:rsidR="00980786" w:rsidRPr="00A3348C" w:rsidRDefault="00980786" w:rsidP="0050392D">
      <w:pPr>
        <w:spacing w:before="240" w:after="120"/>
        <w:jc w:val="center"/>
        <w:rPr>
          <w:b/>
          <w:bCs/>
        </w:rPr>
      </w:pPr>
      <w:r>
        <w:rPr>
          <w:b/>
          <w:bCs/>
        </w:rPr>
        <w:t>Mobile</w:t>
      </w:r>
      <w:r w:rsidRPr="00980786">
        <w:rPr>
          <w:b/>
          <w:bCs/>
          <w:vertAlign w:val="superscript"/>
        </w:rPr>
        <w:t>2</w:t>
      </w:r>
      <w:r w:rsidRPr="00A3348C">
        <w:rPr>
          <w:b/>
          <w:bCs/>
        </w:rPr>
        <w:t> :</w:t>
      </w:r>
    </w:p>
    <w:tbl>
      <w:tblPr>
        <w:tblStyle w:val="Grilledutableau"/>
        <w:tblW w:w="0" w:type="auto"/>
        <w:jc w:val="center"/>
        <w:tblLook w:val="04A0" w:firstRow="1" w:lastRow="0" w:firstColumn="1" w:lastColumn="0" w:noHBand="0" w:noVBand="1"/>
      </w:tblPr>
      <w:tblGrid>
        <w:gridCol w:w="2268"/>
        <w:gridCol w:w="1701"/>
        <w:gridCol w:w="1701"/>
      </w:tblGrid>
      <w:tr w:rsidR="003B58B5" w14:paraId="087B4ECB" w14:textId="07F60889" w:rsidTr="0050392D">
        <w:trPr>
          <w:jc w:val="center"/>
        </w:trPr>
        <w:tc>
          <w:tcPr>
            <w:tcW w:w="2268" w:type="dxa"/>
            <w:shd w:val="clear" w:color="auto" w:fill="EBF0F5"/>
          </w:tcPr>
          <w:p w14:paraId="2691A071" w14:textId="77777777" w:rsidR="003B58B5" w:rsidRPr="003F2E71" w:rsidRDefault="003B58B5" w:rsidP="00633AF2">
            <w:pPr>
              <w:jc w:val="center"/>
              <w:rPr>
                <w:b/>
                <w:bCs/>
              </w:rPr>
            </w:pPr>
            <w:r>
              <w:rPr>
                <w:b/>
                <w:bCs/>
              </w:rPr>
              <w:t>Pays</w:t>
            </w:r>
          </w:p>
        </w:tc>
        <w:tc>
          <w:tcPr>
            <w:tcW w:w="1701" w:type="dxa"/>
            <w:shd w:val="clear" w:color="auto" w:fill="EBF0F5"/>
          </w:tcPr>
          <w:p w14:paraId="3BC4D064" w14:textId="77777777" w:rsidR="003B58B5" w:rsidRPr="003F2E71" w:rsidRDefault="003B58B5" w:rsidP="00633AF2">
            <w:pPr>
              <w:jc w:val="center"/>
              <w:rPr>
                <w:b/>
                <w:bCs/>
              </w:rPr>
            </w:pPr>
            <w:r>
              <w:rPr>
                <w:b/>
                <w:bCs/>
              </w:rPr>
              <w:t>Prix</w:t>
            </w:r>
          </w:p>
        </w:tc>
        <w:tc>
          <w:tcPr>
            <w:tcW w:w="1701" w:type="dxa"/>
            <w:shd w:val="clear" w:color="auto" w:fill="EBF0F5"/>
          </w:tcPr>
          <w:p w14:paraId="04B234C8" w14:textId="251D8FE8" w:rsidR="003B58B5" w:rsidRDefault="003B58B5" w:rsidP="00633AF2">
            <w:pPr>
              <w:jc w:val="center"/>
              <w:rPr>
                <w:b/>
                <w:bCs/>
              </w:rPr>
            </w:pPr>
            <w:r>
              <w:rPr>
                <w:b/>
                <w:bCs/>
              </w:rPr>
              <w:t>Prix du Go</w:t>
            </w:r>
          </w:p>
        </w:tc>
      </w:tr>
      <w:tr w:rsidR="003B58B5" w14:paraId="1CD71341" w14:textId="1DDF7348" w:rsidTr="0050392D">
        <w:trPr>
          <w:jc w:val="center"/>
        </w:trPr>
        <w:tc>
          <w:tcPr>
            <w:tcW w:w="2268" w:type="dxa"/>
          </w:tcPr>
          <w:p w14:paraId="7D8A79A4" w14:textId="03CFBE5D" w:rsidR="003B58B5" w:rsidRDefault="003B58B5" w:rsidP="003B58B5">
            <w:pPr>
              <w:jc w:val="center"/>
            </w:pPr>
            <w:r>
              <w:t>France</w:t>
            </w:r>
          </w:p>
        </w:tc>
        <w:tc>
          <w:tcPr>
            <w:tcW w:w="1701" w:type="dxa"/>
          </w:tcPr>
          <w:p w14:paraId="446975C0" w14:textId="191B2CF3" w:rsidR="003B58B5" w:rsidRDefault="00A74D1A" w:rsidP="003B58B5">
            <w:pPr>
              <w:jc w:val="center"/>
            </w:pPr>
            <w:r>
              <w:t>14</w:t>
            </w:r>
            <w:r w:rsidR="003B58B5">
              <w:t xml:space="preserve"> €</w:t>
            </w:r>
          </w:p>
        </w:tc>
        <w:tc>
          <w:tcPr>
            <w:tcW w:w="1701" w:type="dxa"/>
          </w:tcPr>
          <w:p w14:paraId="20564A7B" w14:textId="07694A29" w:rsidR="003B58B5" w:rsidRDefault="00A74D1A" w:rsidP="003B58B5">
            <w:pPr>
              <w:jc w:val="center"/>
            </w:pPr>
            <w:r>
              <w:t>0,17</w:t>
            </w:r>
            <w:r w:rsidR="003B58B5">
              <w:t xml:space="preserve"> €</w:t>
            </w:r>
          </w:p>
        </w:tc>
      </w:tr>
      <w:tr w:rsidR="003B58B5" w14:paraId="1D3C1276" w14:textId="08419295" w:rsidTr="0050392D">
        <w:trPr>
          <w:jc w:val="center"/>
        </w:trPr>
        <w:tc>
          <w:tcPr>
            <w:tcW w:w="2268" w:type="dxa"/>
          </w:tcPr>
          <w:p w14:paraId="020A698D" w14:textId="073BA986" w:rsidR="003B58B5" w:rsidRDefault="003B58B5" w:rsidP="003B58B5">
            <w:pPr>
              <w:jc w:val="center"/>
            </w:pPr>
            <w:r w:rsidRPr="00980786">
              <w:t>Italie</w:t>
            </w:r>
          </w:p>
        </w:tc>
        <w:tc>
          <w:tcPr>
            <w:tcW w:w="1701" w:type="dxa"/>
          </w:tcPr>
          <w:p w14:paraId="647FFDE4" w14:textId="5F773A6A" w:rsidR="003B58B5" w:rsidRDefault="00A74D1A" w:rsidP="003B58B5">
            <w:pPr>
              <w:jc w:val="center"/>
            </w:pPr>
            <w:r>
              <w:t>14</w:t>
            </w:r>
            <w:r w:rsidR="003B58B5">
              <w:t xml:space="preserve"> </w:t>
            </w:r>
            <w:r w:rsidR="003B58B5" w:rsidRPr="00A3348C">
              <w:t>€</w:t>
            </w:r>
          </w:p>
        </w:tc>
        <w:tc>
          <w:tcPr>
            <w:tcW w:w="1701" w:type="dxa"/>
          </w:tcPr>
          <w:p w14:paraId="56A123BC" w14:textId="382D2242" w:rsidR="003B58B5" w:rsidRDefault="00A74D1A" w:rsidP="003B58B5">
            <w:pPr>
              <w:jc w:val="center"/>
            </w:pPr>
            <w:r>
              <w:t>0,28</w:t>
            </w:r>
            <w:r w:rsidR="003B58B5">
              <w:t xml:space="preserve"> </w:t>
            </w:r>
            <w:r w:rsidR="003B58B5" w:rsidRPr="00A3348C">
              <w:t>€</w:t>
            </w:r>
          </w:p>
        </w:tc>
      </w:tr>
      <w:tr w:rsidR="003B58B5" w14:paraId="33C647EF" w14:textId="41F87CC6" w:rsidTr="0050392D">
        <w:trPr>
          <w:jc w:val="center"/>
        </w:trPr>
        <w:tc>
          <w:tcPr>
            <w:tcW w:w="2268" w:type="dxa"/>
          </w:tcPr>
          <w:p w14:paraId="249D024D" w14:textId="69F9B0DB" w:rsidR="003B58B5" w:rsidRDefault="003B58B5" w:rsidP="003B58B5">
            <w:pPr>
              <w:jc w:val="center"/>
            </w:pPr>
            <w:r>
              <w:t>Pologne</w:t>
            </w:r>
          </w:p>
        </w:tc>
        <w:tc>
          <w:tcPr>
            <w:tcW w:w="1701" w:type="dxa"/>
          </w:tcPr>
          <w:p w14:paraId="366DF7C0" w14:textId="7AC10867" w:rsidR="003B58B5" w:rsidRDefault="00A74D1A" w:rsidP="003B58B5">
            <w:pPr>
              <w:jc w:val="center"/>
            </w:pPr>
            <w:r>
              <w:t>17</w:t>
            </w:r>
            <w:r w:rsidR="003B58B5" w:rsidRPr="00A3348C">
              <w:t xml:space="preserve"> €</w:t>
            </w:r>
          </w:p>
        </w:tc>
        <w:tc>
          <w:tcPr>
            <w:tcW w:w="1701" w:type="dxa"/>
          </w:tcPr>
          <w:p w14:paraId="74D78268" w14:textId="5620CD56" w:rsidR="003B58B5" w:rsidRDefault="00A74D1A" w:rsidP="003B58B5">
            <w:pPr>
              <w:jc w:val="center"/>
            </w:pPr>
            <w:r>
              <w:t>0,17</w:t>
            </w:r>
            <w:r w:rsidR="003B58B5" w:rsidRPr="00A3348C">
              <w:t xml:space="preserve"> €</w:t>
            </w:r>
          </w:p>
        </w:tc>
      </w:tr>
      <w:tr w:rsidR="003B58B5" w14:paraId="590DF60F" w14:textId="458AA2C0" w:rsidTr="0050392D">
        <w:trPr>
          <w:jc w:val="center"/>
        </w:trPr>
        <w:tc>
          <w:tcPr>
            <w:tcW w:w="2268" w:type="dxa"/>
          </w:tcPr>
          <w:p w14:paraId="58C264BA" w14:textId="77777777" w:rsidR="003B58B5" w:rsidRDefault="003B58B5" w:rsidP="003B58B5">
            <w:pPr>
              <w:jc w:val="center"/>
            </w:pPr>
            <w:r>
              <w:t>Royaume-Uni</w:t>
            </w:r>
          </w:p>
        </w:tc>
        <w:tc>
          <w:tcPr>
            <w:tcW w:w="1701" w:type="dxa"/>
          </w:tcPr>
          <w:p w14:paraId="349F29A9" w14:textId="09B4FD26" w:rsidR="003B58B5" w:rsidRDefault="00A74D1A" w:rsidP="003B58B5">
            <w:pPr>
              <w:jc w:val="center"/>
            </w:pPr>
            <w:r>
              <w:t>22</w:t>
            </w:r>
            <w:r w:rsidR="003B58B5">
              <w:t xml:space="preserve"> €</w:t>
            </w:r>
          </w:p>
        </w:tc>
        <w:tc>
          <w:tcPr>
            <w:tcW w:w="1701" w:type="dxa"/>
          </w:tcPr>
          <w:p w14:paraId="729286C6" w14:textId="01AD2AD8" w:rsidR="003B58B5" w:rsidRDefault="00A74D1A" w:rsidP="003B58B5">
            <w:pPr>
              <w:jc w:val="center"/>
            </w:pPr>
            <w:r>
              <w:t>0</w:t>
            </w:r>
            <w:r w:rsidR="00BD2765">
              <w:t>,44</w:t>
            </w:r>
            <w:r w:rsidR="003B58B5">
              <w:t xml:space="preserve"> €</w:t>
            </w:r>
          </w:p>
        </w:tc>
      </w:tr>
      <w:tr w:rsidR="003B58B5" w14:paraId="1110AA89" w14:textId="11F9770E" w:rsidTr="0050392D">
        <w:trPr>
          <w:jc w:val="center"/>
        </w:trPr>
        <w:tc>
          <w:tcPr>
            <w:tcW w:w="2268" w:type="dxa"/>
          </w:tcPr>
          <w:p w14:paraId="07A58A19" w14:textId="77777777" w:rsidR="003B58B5" w:rsidRDefault="003B58B5" w:rsidP="003B58B5">
            <w:pPr>
              <w:jc w:val="center"/>
            </w:pPr>
            <w:r>
              <w:t>Espagne</w:t>
            </w:r>
          </w:p>
        </w:tc>
        <w:tc>
          <w:tcPr>
            <w:tcW w:w="1701" w:type="dxa"/>
          </w:tcPr>
          <w:p w14:paraId="74AFA317" w14:textId="2ED2B8DF" w:rsidR="003B58B5" w:rsidRDefault="00A74D1A" w:rsidP="003B58B5">
            <w:pPr>
              <w:jc w:val="center"/>
            </w:pPr>
            <w:r>
              <w:t>36</w:t>
            </w:r>
            <w:r w:rsidR="003B58B5">
              <w:t xml:space="preserve"> €</w:t>
            </w:r>
          </w:p>
        </w:tc>
        <w:tc>
          <w:tcPr>
            <w:tcW w:w="1701" w:type="dxa"/>
          </w:tcPr>
          <w:p w14:paraId="2A591892" w14:textId="3C52BB12" w:rsidR="003B58B5" w:rsidRDefault="00BD2765" w:rsidP="003B58B5">
            <w:pPr>
              <w:jc w:val="center"/>
            </w:pPr>
            <w:r>
              <w:t>0,36</w:t>
            </w:r>
            <w:r w:rsidR="003B58B5">
              <w:t xml:space="preserve"> €</w:t>
            </w:r>
          </w:p>
        </w:tc>
      </w:tr>
      <w:tr w:rsidR="003B58B5" w14:paraId="4FB55607" w14:textId="202DFF71" w:rsidTr="0050392D">
        <w:trPr>
          <w:jc w:val="center"/>
        </w:trPr>
        <w:tc>
          <w:tcPr>
            <w:tcW w:w="2268" w:type="dxa"/>
          </w:tcPr>
          <w:p w14:paraId="476B02F1" w14:textId="77777777" w:rsidR="003B58B5" w:rsidRDefault="003B58B5" w:rsidP="003B58B5">
            <w:pPr>
              <w:jc w:val="center"/>
            </w:pPr>
            <w:r>
              <w:t>Allemagne</w:t>
            </w:r>
          </w:p>
        </w:tc>
        <w:tc>
          <w:tcPr>
            <w:tcW w:w="1701" w:type="dxa"/>
          </w:tcPr>
          <w:p w14:paraId="6F5CA1BA" w14:textId="721A5A02" w:rsidR="003B58B5" w:rsidRDefault="00A74D1A" w:rsidP="003B58B5">
            <w:pPr>
              <w:jc w:val="center"/>
            </w:pPr>
            <w:r>
              <w:t>45</w:t>
            </w:r>
            <w:r w:rsidR="003B58B5">
              <w:t xml:space="preserve"> €</w:t>
            </w:r>
          </w:p>
        </w:tc>
        <w:tc>
          <w:tcPr>
            <w:tcW w:w="1701" w:type="dxa"/>
          </w:tcPr>
          <w:p w14:paraId="1FAD6406" w14:textId="4A30763A" w:rsidR="003B58B5" w:rsidRDefault="00BD2765" w:rsidP="003B58B5">
            <w:pPr>
              <w:jc w:val="center"/>
            </w:pPr>
            <w:r>
              <w:t>0,75</w:t>
            </w:r>
            <w:r w:rsidR="003B58B5">
              <w:t xml:space="preserve"> €</w:t>
            </w:r>
          </w:p>
        </w:tc>
      </w:tr>
      <w:tr w:rsidR="003B58B5" w14:paraId="19D6F31D" w14:textId="337991C4" w:rsidTr="0050392D">
        <w:trPr>
          <w:jc w:val="center"/>
        </w:trPr>
        <w:tc>
          <w:tcPr>
            <w:tcW w:w="2268" w:type="dxa"/>
          </w:tcPr>
          <w:p w14:paraId="7AB23550" w14:textId="77777777" w:rsidR="003B58B5" w:rsidRDefault="003B58B5" w:rsidP="003B58B5">
            <w:pPr>
              <w:jc w:val="center"/>
            </w:pPr>
            <w:r>
              <w:t>États-Unis</w:t>
            </w:r>
          </w:p>
        </w:tc>
        <w:tc>
          <w:tcPr>
            <w:tcW w:w="1701" w:type="dxa"/>
          </w:tcPr>
          <w:p w14:paraId="21B4380C" w14:textId="18560EE2" w:rsidR="003B58B5" w:rsidRDefault="00A74D1A" w:rsidP="003B58B5">
            <w:pPr>
              <w:jc w:val="center"/>
            </w:pPr>
            <w:r>
              <w:t>68</w:t>
            </w:r>
            <w:r w:rsidR="003B58B5">
              <w:t xml:space="preserve"> €</w:t>
            </w:r>
          </w:p>
        </w:tc>
        <w:tc>
          <w:tcPr>
            <w:tcW w:w="1701" w:type="dxa"/>
          </w:tcPr>
          <w:p w14:paraId="59D9CA2B" w14:textId="6BC8A7AB" w:rsidR="003B58B5" w:rsidRDefault="00BD2765" w:rsidP="003B58B5">
            <w:pPr>
              <w:jc w:val="center"/>
            </w:pPr>
            <w:r>
              <w:t>1,36</w:t>
            </w:r>
            <w:r w:rsidR="003B58B5">
              <w:t xml:space="preserve"> €</w:t>
            </w:r>
          </w:p>
        </w:tc>
      </w:tr>
    </w:tbl>
    <w:p w14:paraId="23C97DD7" w14:textId="4A5C4FAB" w:rsidR="00CA4BCD" w:rsidRDefault="00CA4BCD" w:rsidP="00CA4BCD">
      <w:pPr>
        <w:spacing w:before="240"/>
      </w:pPr>
      <w:r>
        <w:t>Hors promotions, hors frais de connexion. Par pays, sélection du forfait le plus compétitif en termes de prix au sein des opérateurs possédant supérieur à 10 % de part de marché.</w:t>
      </w:r>
    </w:p>
    <w:p w14:paraId="257A9E98" w14:textId="252C99F5" w:rsidR="00E51A45" w:rsidRPr="0050392D" w:rsidRDefault="00E51A45" w:rsidP="0050392D">
      <w:pPr>
        <w:rPr>
          <w:color w:val="595959" w:themeColor="text1" w:themeTint="A6"/>
          <w:sz w:val="18"/>
          <w:szCs w:val="18"/>
        </w:rPr>
      </w:pPr>
      <w:r w:rsidRPr="0050392D">
        <w:rPr>
          <w:color w:val="595959" w:themeColor="text1" w:themeTint="A6"/>
          <w:sz w:val="18"/>
          <w:szCs w:val="18"/>
        </w:rPr>
        <w:t>Source : Sites opérateurs, analyse Arthur D. Little.</w:t>
      </w:r>
      <w:r w:rsidR="001139F3" w:rsidRPr="0050392D">
        <w:rPr>
          <w:color w:val="595959" w:themeColor="text1" w:themeTint="A6"/>
          <w:sz w:val="18"/>
          <w:szCs w:val="18"/>
        </w:rPr>
        <w:t xml:space="preserve"> </w:t>
      </w:r>
      <w:r w:rsidR="00980786" w:rsidRPr="0050392D">
        <w:rPr>
          <w:color w:val="595959" w:themeColor="text1" w:themeTint="A6"/>
          <w:sz w:val="18"/>
          <w:szCs w:val="18"/>
        </w:rPr>
        <w:t xml:space="preserve">(1) Offres </w:t>
      </w:r>
      <w:r w:rsidR="00980786" w:rsidRPr="00476A42">
        <w:rPr>
          <w:i/>
          <w:iCs/>
          <w:color w:val="595959" w:themeColor="text1" w:themeTint="A6"/>
          <w:sz w:val="18"/>
          <w:szCs w:val="18"/>
        </w:rPr>
        <w:t xml:space="preserve">triple </w:t>
      </w:r>
      <w:proofErr w:type="spellStart"/>
      <w:r w:rsidR="00980786" w:rsidRPr="00476A42">
        <w:rPr>
          <w:i/>
          <w:iCs/>
          <w:color w:val="595959" w:themeColor="text1" w:themeTint="A6"/>
          <w:sz w:val="18"/>
          <w:szCs w:val="18"/>
        </w:rPr>
        <w:t>play</w:t>
      </w:r>
      <w:proofErr w:type="spellEnd"/>
      <w:r w:rsidR="00980786" w:rsidRPr="0050392D">
        <w:rPr>
          <w:color w:val="595959" w:themeColor="text1" w:themeTint="A6"/>
          <w:sz w:val="18"/>
          <w:szCs w:val="18"/>
        </w:rPr>
        <w:t xml:space="preserve"> uniquement ; téléphonie illimitée au moins vers les fixes ; Internet haut-débit illimité via xDSL ou fibre ; télévision incluse, hors packs additionnels ; opérateurs dont la part de marché est supérieur à 10 % hors promotions.</w:t>
      </w:r>
      <w:r w:rsidR="001139F3" w:rsidRPr="0050392D">
        <w:rPr>
          <w:color w:val="595959" w:themeColor="text1" w:themeTint="A6"/>
          <w:sz w:val="18"/>
          <w:szCs w:val="18"/>
        </w:rPr>
        <w:t xml:space="preserve"> </w:t>
      </w:r>
      <w:r w:rsidRPr="0050392D">
        <w:rPr>
          <w:color w:val="595959" w:themeColor="text1" w:themeTint="A6"/>
          <w:sz w:val="18"/>
          <w:szCs w:val="18"/>
        </w:rPr>
        <w:t>(2) Appels illimités (quand disponible sinon supérieur à 500 minutes), SMS/MMS illimités, Internet au moins 50 Go ; offres sans terminal, offres sans engagement quand disponible ; opérateurs dont la part de marché est supérieur à 10 %.</w:t>
      </w:r>
    </w:p>
    <w:p w14:paraId="23F2D3A9" w14:textId="599D8961" w:rsidR="00677134" w:rsidRDefault="00677134" w:rsidP="00677134">
      <w:pPr>
        <w:pStyle w:val="Titre2"/>
      </w:pPr>
      <w:r>
        <w:t>Les télécoms sont le seul secteur régulé à avoir baissé ses prix</w:t>
      </w:r>
    </w:p>
    <w:p w14:paraId="1F441F8B" w14:textId="5D211997" w:rsidR="00677134" w:rsidRDefault="003E52AC" w:rsidP="003E52AC">
      <w:pPr>
        <w:spacing w:before="240"/>
      </w:pPr>
      <w:r>
        <w:t>Évolution des indices de prix à la consommation d’un échantillon de produits. France, 2010-2019, base 100 en 2010.</w:t>
      </w:r>
    </w:p>
    <w:tbl>
      <w:tblPr>
        <w:tblStyle w:val="Grilledutableau"/>
        <w:tblW w:w="0" w:type="auto"/>
        <w:jc w:val="center"/>
        <w:tblLook w:val="04A0" w:firstRow="1" w:lastRow="0" w:firstColumn="1" w:lastColumn="0" w:noHBand="0" w:noVBand="1"/>
      </w:tblPr>
      <w:tblGrid>
        <w:gridCol w:w="962"/>
        <w:gridCol w:w="1112"/>
        <w:gridCol w:w="1044"/>
        <w:gridCol w:w="1734"/>
        <w:gridCol w:w="1423"/>
        <w:gridCol w:w="1560"/>
        <w:gridCol w:w="1227"/>
      </w:tblGrid>
      <w:tr w:rsidR="00FA10CE" w14:paraId="5FE922BC" w14:textId="0FB7FCCE" w:rsidTr="00FA10CE">
        <w:trPr>
          <w:jc w:val="center"/>
        </w:trPr>
        <w:tc>
          <w:tcPr>
            <w:tcW w:w="962" w:type="dxa"/>
            <w:shd w:val="clear" w:color="auto" w:fill="EBF0F5"/>
            <w:vAlign w:val="center"/>
          </w:tcPr>
          <w:p w14:paraId="6905AF9D" w14:textId="77777777" w:rsidR="00FA10CE" w:rsidRPr="003F2E71" w:rsidRDefault="00FA10CE" w:rsidP="00FA10CE">
            <w:pPr>
              <w:jc w:val="center"/>
              <w:rPr>
                <w:b/>
                <w:bCs/>
              </w:rPr>
            </w:pPr>
            <w:r w:rsidRPr="003F2E71">
              <w:rPr>
                <w:b/>
                <w:bCs/>
              </w:rPr>
              <w:t>Année</w:t>
            </w:r>
          </w:p>
        </w:tc>
        <w:tc>
          <w:tcPr>
            <w:tcW w:w="1112" w:type="dxa"/>
            <w:shd w:val="clear" w:color="auto" w:fill="EBF0F5"/>
            <w:vAlign w:val="center"/>
          </w:tcPr>
          <w:p w14:paraId="1A2F18BE" w14:textId="260749F6" w:rsidR="00FA10CE" w:rsidRPr="003F2E71" w:rsidRDefault="00FA10CE" w:rsidP="00FA10CE">
            <w:pPr>
              <w:jc w:val="center"/>
              <w:rPr>
                <w:b/>
                <w:bCs/>
              </w:rPr>
            </w:pPr>
            <w:r>
              <w:rPr>
                <w:b/>
                <w:bCs/>
              </w:rPr>
              <w:t xml:space="preserve">Services </w:t>
            </w:r>
            <w:r>
              <w:rPr>
                <w:b/>
                <w:bCs/>
              </w:rPr>
              <w:br/>
              <w:t>télécoms</w:t>
            </w:r>
          </w:p>
        </w:tc>
        <w:tc>
          <w:tcPr>
            <w:tcW w:w="1044" w:type="dxa"/>
            <w:shd w:val="clear" w:color="auto" w:fill="EBF0F5"/>
            <w:vAlign w:val="center"/>
          </w:tcPr>
          <w:p w14:paraId="1BD4EA6C" w14:textId="736F84E6" w:rsidR="00FA10CE" w:rsidRPr="003F2E71" w:rsidRDefault="00FA10CE" w:rsidP="00FA10CE">
            <w:pPr>
              <w:jc w:val="center"/>
              <w:rPr>
                <w:b/>
                <w:bCs/>
              </w:rPr>
            </w:pPr>
            <w:r>
              <w:rPr>
                <w:b/>
                <w:bCs/>
              </w:rPr>
              <w:t>Inflation</w:t>
            </w:r>
          </w:p>
        </w:tc>
        <w:tc>
          <w:tcPr>
            <w:tcW w:w="1734" w:type="dxa"/>
            <w:shd w:val="clear" w:color="auto" w:fill="EBF0F5"/>
            <w:vAlign w:val="center"/>
          </w:tcPr>
          <w:p w14:paraId="5231E9F4" w14:textId="06A93FF5" w:rsidR="00FA10CE" w:rsidRPr="003F2E71" w:rsidRDefault="00FA10CE" w:rsidP="00FA10CE">
            <w:pPr>
              <w:jc w:val="center"/>
              <w:rPr>
                <w:b/>
                <w:bCs/>
              </w:rPr>
            </w:pPr>
            <w:r>
              <w:rPr>
                <w:b/>
                <w:bCs/>
              </w:rPr>
              <w:t xml:space="preserve">Transport ferroviaire </w:t>
            </w:r>
            <w:r>
              <w:rPr>
                <w:b/>
                <w:bCs/>
              </w:rPr>
              <w:br/>
              <w:t>de voyageurs</w:t>
            </w:r>
          </w:p>
        </w:tc>
        <w:tc>
          <w:tcPr>
            <w:tcW w:w="1423" w:type="dxa"/>
            <w:shd w:val="clear" w:color="auto" w:fill="EBF0F5"/>
            <w:vAlign w:val="center"/>
          </w:tcPr>
          <w:p w14:paraId="1CCC5048" w14:textId="0808F124" w:rsidR="00FA10CE" w:rsidRDefault="00FA10CE" w:rsidP="00FA10CE">
            <w:pPr>
              <w:jc w:val="center"/>
              <w:rPr>
                <w:b/>
                <w:bCs/>
              </w:rPr>
            </w:pPr>
            <w:r>
              <w:rPr>
                <w:b/>
                <w:bCs/>
              </w:rPr>
              <w:t>Gaz de ville</w:t>
            </w:r>
          </w:p>
        </w:tc>
        <w:tc>
          <w:tcPr>
            <w:tcW w:w="1560" w:type="dxa"/>
            <w:shd w:val="clear" w:color="auto" w:fill="EBF0F5"/>
            <w:vAlign w:val="center"/>
          </w:tcPr>
          <w:p w14:paraId="4B40EF8F" w14:textId="1AAF1566" w:rsidR="00FA10CE" w:rsidRDefault="00FA10CE" w:rsidP="00FA10CE">
            <w:pPr>
              <w:jc w:val="center"/>
              <w:rPr>
                <w:b/>
                <w:bCs/>
              </w:rPr>
            </w:pPr>
            <w:r>
              <w:rPr>
                <w:b/>
                <w:bCs/>
              </w:rPr>
              <w:t>Électricité</w:t>
            </w:r>
          </w:p>
        </w:tc>
        <w:tc>
          <w:tcPr>
            <w:tcW w:w="1227" w:type="dxa"/>
            <w:shd w:val="clear" w:color="auto" w:fill="EBF0F5"/>
            <w:vAlign w:val="center"/>
          </w:tcPr>
          <w:p w14:paraId="206A18C5" w14:textId="36C450EC" w:rsidR="00FA10CE" w:rsidRDefault="00FA10CE" w:rsidP="00FA10CE">
            <w:pPr>
              <w:jc w:val="center"/>
              <w:rPr>
                <w:b/>
                <w:bCs/>
              </w:rPr>
            </w:pPr>
            <w:r>
              <w:rPr>
                <w:b/>
                <w:bCs/>
              </w:rPr>
              <w:t>Services postaux</w:t>
            </w:r>
          </w:p>
        </w:tc>
      </w:tr>
      <w:tr w:rsidR="00FA10CE" w14:paraId="3EC0C8D5" w14:textId="27CF2429" w:rsidTr="00FA10CE">
        <w:trPr>
          <w:jc w:val="center"/>
        </w:trPr>
        <w:tc>
          <w:tcPr>
            <w:tcW w:w="962" w:type="dxa"/>
          </w:tcPr>
          <w:p w14:paraId="0DE6721F" w14:textId="77777777" w:rsidR="00FA10CE" w:rsidRPr="003F2E71" w:rsidRDefault="00FA10CE" w:rsidP="00633AF2">
            <w:pPr>
              <w:jc w:val="center"/>
              <w:rPr>
                <w:b/>
                <w:bCs/>
              </w:rPr>
            </w:pPr>
            <w:r w:rsidRPr="003F2E71">
              <w:rPr>
                <w:b/>
                <w:bCs/>
              </w:rPr>
              <w:t>2010</w:t>
            </w:r>
          </w:p>
        </w:tc>
        <w:tc>
          <w:tcPr>
            <w:tcW w:w="1112" w:type="dxa"/>
          </w:tcPr>
          <w:p w14:paraId="5CB4D159" w14:textId="2F90E571" w:rsidR="00FA10CE" w:rsidRDefault="00F303A3" w:rsidP="00633AF2">
            <w:pPr>
              <w:jc w:val="center"/>
            </w:pPr>
            <w:r>
              <w:t>100</w:t>
            </w:r>
          </w:p>
        </w:tc>
        <w:tc>
          <w:tcPr>
            <w:tcW w:w="1044" w:type="dxa"/>
          </w:tcPr>
          <w:p w14:paraId="1FD0251E" w14:textId="0CC39872" w:rsidR="00FA10CE" w:rsidRDefault="00F303A3" w:rsidP="00633AF2">
            <w:pPr>
              <w:jc w:val="center"/>
            </w:pPr>
            <w:r w:rsidRPr="00F303A3">
              <w:t>100</w:t>
            </w:r>
          </w:p>
        </w:tc>
        <w:tc>
          <w:tcPr>
            <w:tcW w:w="1734" w:type="dxa"/>
          </w:tcPr>
          <w:p w14:paraId="0F2CA4F3" w14:textId="0460AE64" w:rsidR="00FA10CE" w:rsidRDefault="00F303A3" w:rsidP="00633AF2">
            <w:pPr>
              <w:jc w:val="center"/>
            </w:pPr>
            <w:r w:rsidRPr="00F303A3">
              <w:t>100</w:t>
            </w:r>
          </w:p>
        </w:tc>
        <w:tc>
          <w:tcPr>
            <w:tcW w:w="1423" w:type="dxa"/>
          </w:tcPr>
          <w:p w14:paraId="48869241" w14:textId="06C1F6A5" w:rsidR="00FA10CE" w:rsidRDefault="00F303A3" w:rsidP="00633AF2">
            <w:pPr>
              <w:jc w:val="center"/>
            </w:pPr>
            <w:r w:rsidRPr="00F303A3">
              <w:t>100</w:t>
            </w:r>
          </w:p>
        </w:tc>
        <w:tc>
          <w:tcPr>
            <w:tcW w:w="1560" w:type="dxa"/>
          </w:tcPr>
          <w:p w14:paraId="6B8643D4" w14:textId="7FF5918B" w:rsidR="00FA10CE" w:rsidRDefault="00F303A3" w:rsidP="00633AF2">
            <w:pPr>
              <w:jc w:val="center"/>
            </w:pPr>
            <w:r w:rsidRPr="00F303A3">
              <w:t>100</w:t>
            </w:r>
          </w:p>
        </w:tc>
        <w:tc>
          <w:tcPr>
            <w:tcW w:w="1227" w:type="dxa"/>
          </w:tcPr>
          <w:p w14:paraId="50AAFCDB" w14:textId="48177549" w:rsidR="00FA10CE" w:rsidRDefault="00F303A3" w:rsidP="00633AF2">
            <w:pPr>
              <w:jc w:val="center"/>
            </w:pPr>
            <w:r w:rsidRPr="00F303A3">
              <w:t>100</w:t>
            </w:r>
          </w:p>
        </w:tc>
      </w:tr>
      <w:tr w:rsidR="00FA10CE" w14:paraId="0E0F22CF" w14:textId="27C24453" w:rsidTr="00FA10CE">
        <w:trPr>
          <w:jc w:val="center"/>
        </w:trPr>
        <w:tc>
          <w:tcPr>
            <w:tcW w:w="962" w:type="dxa"/>
          </w:tcPr>
          <w:p w14:paraId="1DDA5174" w14:textId="77777777" w:rsidR="00FA10CE" w:rsidRPr="003F2E71" w:rsidRDefault="00FA10CE" w:rsidP="00633AF2">
            <w:pPr>
              <w:jc w:val="center"/>
              <w:rPr>
                <w:b/>
                <w:bCs/>
              </w:rPr>
            </w:pPr>
            <w:r w:rsidRPr="003F2E71">
              <w:rPr>
                <w:b/>
                <w:bCs/>
              </w:rPr>
              <w:t>2019</w:t>
            </w:r>
          </w:p>
        </w:tc>
        <w:tc>
          <w:tcPr>
            <w:tcW w:w="1112" w:type="dxa"/>
          </w:tcPr>
          <w:p w14:paraId="5B738071" w14:textId="340D9CFF" w:rsidR="00FA10CE" w:rsidRDefault="00F303A3" w:rsidP="00633AF2">
            <w:pPr>
              <w:jc w:val="center"/>
            </w:pPr>
            <w:r>
              <w:t>60</w:t>
            </w:r>
          </w:p>
        </w:tc>
        <w:tc>
          <w:tcPr>
            <w:tcW w:w="1044" w:type="dxa"/>
          </w:tcPr>
          <w:p w14:paraId="79135CD1" w14:textId="3BAC22D5" w:rsidR="00FA10CE" w:rsidRDefault="00F303A3" w:rsidP="00633AF2">
            <w:pPr>
              <w:jc w:val="center"/>
            </w:pPr>
            <w:r>
              <w:t>110</w:t>
            </w:r>
          </w:p>
        </w:tc>
        <w:tc>
          <w:tcPr>
            <w:tcW w:w="1734" w:type="dxa"/>
          </w:tcPr>
          <w:p w14:paraId="76DCC219" w14:textId="11EC45B0" w:rsidR="00FA10CE" w:rsidRDefault="00170882" w:rsidP="00633AF2">
            <w:pPr>
              <w:jc w:val="center"/>
            </w:pPr>
            <w:r>
              <w:t>116</w:t>
            </w:r>
          </w:p>
        </w:tc>
        <w:tc>
          <w:tcPr>
            <w:tcW w:w="1423" w:type="dxa"/>
          </w:tcPr>
          <w:p w14:paraId="6552E7DF" w14:textId="7AF3ABE9" w:rsidR="00FA10CE" w:rsidRDefault="00170882" w:rsidP="00633AF2">
            <w:pPr>
              <w:jc w:val="center"/>
            </w:pPr>
            <w:r>
              <w:t>136</w:t>
            </w:r>
          </w:p>
        </w:tc>
        <w:tc>
          <w:tcPr>
            <w:tcW w:w="1560" w:type="dxa"/>
          </w:tcPr>
          <w:p w14:paraId="4E33CA4F" w14:textId="07F6BD58" w:rsidR="00FA10CE" w:rsidRDefault="00170882" w:rsidP="00633AF2">
            <w:pPr>
              <w:jc w:val="center"/>
            </w:pPr>
            <w:r>
              <w:t>141</w:t>
            </w:r>
          </w:p>
        </w:tc>
        <w:tc>
          <w:tcPr>
            <w:tcW w:w="1227" w:type="dxa"/>
          </w:tcPr>
          <w:p w14:paraId="62C3DB73" w14:textId="3ABD5F40" w:rsidR="00FA10CE" w:rsidRDefault="00170882" w:rsidP="00633AF2">
            <w:pPr>
              <w:jc w:val="center"/>
            </w:pPr>
            <w:r>
              <w:t>150</w:t>
            </w:r>
          </w:p>
        </w:tc>
      </w:tr>
    </w:tbl>
    <w:p w14:paraId="0CB31D6E" w14:textId="74B0A55B" w:rsidR="0050392D" w:rsidRDefault="00247ABF" w:rsidP="0050392D">
      <w:pPr>
        <w:spacing w:before="120"/>
        <w:rPr>
          <w:color w:val="595959" w:themeColor="text1" w:themeTint="A6"/>
          <w:sz w:val="18"/>
          <w:szCs w:val="18"/>
        </w:rPr>
      </w:pPr>
      <w:r w:rsidRPr="0050392D">
        <w:rPr>
          <w:color w:val="595959" w:themeColor="text1" w:themeTint="A6"/>
          <w:sz w:val="18"/>
          <w:szCs w:val="18"/>
        </w:rPr>
        <w:t>Source : INSEE, analyse Arthur D. Little.</w:t>
      </w:r>
    </w:p>
    <w:p w14:paraId="37C480A1" w14:textId="77777777" w:rsidR="0050392D" w:rsidRDefault="0050392D">
      <w:pPr>
        <w:rPr>
          <w:color w:val="595959" w:themeColor="text1" w:themeTint="A6"/>
          <w:sz w:val="18"/>
          <w:szCs w:val="18"/>
        </w:rPr>
      </w:pPr>
      <w:r>
        <w:rPr>
          <w:color w:val="595959" w:themeColor="text1" w:themeTint="A6"/>
          <w:sz w:val="18"/>
          <w:szCs w:val="18"/>
        </w:rPr>
        <w:br w:type="page"/>
      </w:r>
    </w:p>
    <w:p w14:paraId="538AC4D3" w14:textId="3F783124" w:rsidR="00247ABF" w:rsidRDefault="00A0487B" w:rsidP="00A0487B">
      <w:pPr>
        <w:pStyle w:val="Titre1"/>
      </w:pPr>
      <w:r w:rsidRPr="00A0487B">
        <w:lastRenderedPageBreak/>
        <w:t>Une fiscalité pénalisante</w:t>
      </w:r>
    </w:p>
    <w:p w14:paraId="01021A75" w14:textId="46B671AB" w:rsidR="00A0487B" w:rsidRDefault="00A0487B" w:rsidP="00D46C37">
      <w:pPr>
        <w:pStyle w:val="Titre2"/>
      </w:pPr>
      <w:r>
        <w:t>Des conditions de concurrence inéquitables avec les géants de l’Internet</w:t>
      </w:r>
    </w:p>
    <w:p w14:paraId="603396D8" w14:textId="30EFB00B" w:rsidR="00A0487B" w:rsidRDefault="00A0487B" w:rsidP="00A0487B">
      <w:pPr>
        <w:spacing w:before="240"/>
      </w:pPr>
      <w:r>
        <w:t>Niveau d’imposition</w:t>
      </w:r>
      <w:r w:rsidRPr="00A0487B">
        <w:rPr>
          <w:vertAlign w:val="superscript"/>
        </w:rPr>
        <w:t>1</w:t>
      </w:r>
      <w:r>
        <w:t xml:space="preserve"> en % des revenus</w:t>
      </w:r>
      <w:r w:rsidRPr="00A0487B">
        <w:rPr>
          <w:vertAlign w:val="superscript"/>
        </w:rPr>
        <w:t>2,3</w:t>
      </w:r>
      <w:r>
        <w:t xml:space="preserve"> pour les principaux acteurs de l’écosystème numérique en France, 2014 vs 2019</w:t>
      </w:r>
      <w:r w:rsidR="00D46C37">
        <w:t>.</w:t>
      </w:r>
    </w:p>
    <w:tbl>
      <w:tblPr>
        <w:tblStyle w:val="Grilledutableau"/>
        <w:tblW w:w="0" w:type="auto"/>
        <w:jc w:val="center"/>
        <w:tblLook w:val="04A0" w:firstRow="1" w:lastRow="0" w:firstColumn="1" w:lastColumn="0" w:noHBand="0" w:noVBand="1"/>
      </w:tblPr>
      <w:tblGrid>
        <w:gridCol w:w="5102"/>
        <w:gridCol w:w="1134"/>
        <w:gridCol w:w="1134"/>
        <w:gridCol w:w="1134"/>
      </w:tblGrid>
      <w:tr w:rsidR="00464D1C" w14:paraId="3880C344" w14:textId="6F9B8344" w:rsidTr="00AF1FFE">
        <w:trPr>
          <w:trHeight w:val="567"/>
          <w:jc w:val="center"/>
        </w:trPr>
        <w:tc>
          <w:tcPr>
            <w:tcW w:w="5102" w:type="dxa"/>
            <w:shd w:val="clear" w:color="auto" w:fill="EBF0F5"/>
            <w:vAlign w:val="center"/>
          </w:tcPr>
          <w:p w14:paraId="41E322EC" w14:textId="56E6288D" w:rsidR="00464D1C" w:rsidRPr="003F2E71" w:rsidRDefault="00464D1C" w:rsidP="00AF1FFE">
            <w:pPr>
              <w:jc w:val="center"/>
              <w:rPr>
                <w:b/>
                <w:bCs/>
              </w:rPr>
            </w:pPr>
            <w:r>
              <w:rPr>
                <w:b/>
                <w:bCs/>
              </w:rPr>
              <w:t>Catégorie</w:t>
            </w:r>
          </w:p>
        </w:tc>
        <w:tc>
          <w:tcPr>
            <w:tcW w:w="1134" w:type="dxa"/>
            <w:shd w:val="clear" w:color="auto" w:fill="EBF0F5"/>
            <w:vAlign w:val="center"/>
          </w:tcPr>
          <w:p w14:paraId="41BF7DB8" w14:textId="17994204" w:rsidR="00464D1C" w:rsidRPr="003F2E71" w:rsidRDefault="00464D1C" w:rsidP="00AF1FFE">
            <w:pPr>
              <w:jc w:val="center"/>
              <w:rPr>
                <w:b/>
                <w:bCs/>
              </w:rPr>
            </w:pPr>
            <w:r>
              <w:rPr>
                <w:b/>
                <w:bCs/>
              </w:rPr>
              <w:t>2014</w:t>
            </w:r>
          </w:p>
        </w:tc>
        <w:tc>
          <w:tcPr>
            <w:tcW w:w="1134" w:type="dxa"/>
            <w:shd w:val="clear" w:color="auto" w:fill="EBF0F5"/>
            <w:vAlign w:val="center"/>
          </w:tcPr>
          <w:p w14:paraId="6A46C858" w14:textId="251688D5" w:rsidR="00464D1C" w:rsidRDefault="00464D1C" w:rsidP="00AF1FFE">
            <w:pPr>
              <w:jc w:val="center"/>
              <w:rPr>
                <w:b/>
                <w:bCs/>
              </w:rPr>
            </w:pPr>
            <w:r>
              <w:rPr>
                <w:b/>
                <w:bCs/>
              </w:rPr>
              <w:t>2019</w:t>
            </w:r>
          </w:p>
        </w:tc>
        <w:tc>
          <w:tcPr>
            <w:tcW w:w="1134" w:type="dxa"/>
            <w:shd w:val="clear" w:color="auto" w:fill="EBF0F5"/>
            <w:vAlign w:val="center"/>
          </w:tcPr>
          <w:p w14:paraId="3C07B64C" w14:textId="5E0B9BB2" w:rsidR="00464D1C" w:rsidRDefault="00464D1C" w:rsidP="00AF1FFE">
            <w:pPr>
              <w:jc w:val="center"/>
              <w:rPr>
                <w:b/>
                <w:bCs/>
              </w:rPr>
            </w:pPr>
            <w:r>
              <w:rPr>
                <w:b/>
                <w:bCs/>
              </w:rPr>
              <w:t>Variation</w:t>
            </w:r>
          </w:p>
        </w:tc>
      </w:tr>
      <w:tr w:rsidR="00464D1C" w14:paraId="1AB3C6AC" w14:textId="33ABC37B" w:rsidTr="00AF1FFE">
        <w:trPr>
          <w:trHeight w:val="1020"/>
          <w:jc w:val="center"/>
        </w:trPr>
        <w:tc>
          <w:tcPr>
            <w:tcW w:w="5102" w:type="dxa"/>
            <w:vAlign w:val="center"/>
          </w:tcPr>
          <w:p w14:paraId="3ECFE5BD" w14:textId="5D4A3D26" w:rsidR="00464D1C" w:rsidRDefault="00464D1C" w:rsidP="00AF1FFE">
            <w:pPr>
              <w:jc w:val="center"/>
            </w:pPr>
            <w:r w:rsidRPr="00AF1FFE">
              <w:rPr>
                <w:b/>
                <w:bCs/>
                <w:sz w:val="28"/>
                <w:szCs w:val="28"/>
              </w:rPr>
              <w:t>Opérateurs télécoms</w:t>
            </w:r>
            <w:r w:rsidRPr="00AF1FFE">
              <w:rPr>
                <w:sz w:val="28"/>
                <w:szCs w:val="28"/>
              </w:rPr>
              <w:t xml:space="preserve"> </w:t>
            </w:r>
            <w:r w:rsidR="00AF1FFE">
              <w:br/>
            </w:r>
            <w:r w:rsidR="00E61EE4">
              <w:t xml:space="preserve">(Bouygues Telecom, Orange, SFR, </w:t>
            </w:r>
            <w:r w:rsidR="00AF1FFE">
              <w:br/>
            </w:r>
            <w:r w:rsidR="00E61EE4">
              <w:t>Iliad Free, Euro-Information Telecom)</w:t>
            </w:r>
          </w:p>
        </w:tc>
        <w:tc>
          <w:tcPr>
            <w:tcW w:w="1134" w:type="dxa"/>
            <w:vAlign w:val="center"/>
          </w:tcPr>
          <w:p w14:paraId="48AD5BED" w14:textId="13707E7F" w:rsidR="00464D1C" w:rsidRDefault="00C603BA" w:rsidP="00AF1FFE">
            <w:pPr>
              <w:jc w:val="center"/>
            </w:pPr>
            <w:r>
              <w:t>3,3 %</w:t>
            </w:r>
          </w:p>
        </w:tc>
        <w:tc>
          <w:tcPr>
            <w:tcW w:w="1134" w:type="dxa"/>
            <w:vAlign w:val="center"/>
          </w:tcPr>
          <w:p w14:paraId="3DAC6BE3" w14:textId="3E868BF7" w:rsidR="00464D1C" w:rsidRDefault="00C603BA" w:rsidP="00AF1FFE">
            <w:pPr>
              <w:jc w:val="center"/>
            </w:pPr>
            <w:r>
              <w:t>6,5 %</w:t>
            </w:r>
          </w:p>
        </w:tc>
        <w:tc>
          <w:tcPr>
            <w:tcW w:w="1134" w:type="dxa"/>
            <w:vAlign w:val="center"/>
          </w:tcPr>
          <w:p w14:paraId="5F772763" w14:textId="3E3C1276" w:rsidR="00464D1C" w:rsidRDefault="00163E83" w:rsidP="00AF1FFE">
            <w:pPr>
              <w:jc w:val="center"/>
            </w:pPr>
            <w:r>
              <w:t>+ 3,2 points</w:t>
            </w:r>
          </w:p>
        </w:tc>
      </w:tr>
      <w:tr w:rsidR="00464D1C" w14:paraId="1B8B263F" w14:textId="61E06EA8" w:rsidTr="00AF1FFE">
        <w:trPr>
          <w:trHeight w:val="1020"/>
          <w:jc w:val="center"/>
        </w:trPr>
        <w:tc>
          <w:tcPr>
            <w:tcW w:w="5102" w:type="dxa"/>
            <w:vAlign w:val="center"/>
          </w:tcPr>
          <w:p w14:paraId="7DD97AD7" w14:textId="7A830A05" w:rsidR="00464D1C" w:rsidRDefault="00E61EE4" w:rsidP="00AF1FFE">
            <w:pPr>
              <w:jc w:val="center"/>
            </w:pPr>
            <w:r w:rsidRPr="00AF1FFE">
              <w:rPr>
                <w:b/>
                <w:bCs/>
                <w:sz w:val="28"/>
                <w:szCs w:val="28"/>
              </w:rPr>
              <w:t>Fabricants de terminaux</w:t>
            </w:r>
            <w:r w:rsidRPr="00AF1FFE">
              <w:rPr>
                <w:sz w:val="28"/>
                <w:szCs w:val="28"/>
              </w:rPr>
              <w:t xml:space="preserve"> </w:t>
            </w:r>
            <w:r w:rsidR="00AF1FFE" w:rsidRPr="00AF1FFE">
              <w:rPr>
                <w:sz w:val="28"/>
                <w:szCs w:val="28"/>
              </w:rPr>
              <w:br/>
            </w:r>
            <w:r>
              <w:t>(</w:t>
            </w:r>
            <w:r w:rsidR="00BC0CDD">
              <w:t>Samsung, Apple, Huawei, Xiaomi, Sony)</w:t>
            </w:r>
          </w:p>
        </w:tc>
        <w:tc>
          <w:tcPr>
            <w:tcW w:w="1134" w:type="dxa"/>
            <w:vAlign w:val="center"/>
          </w:tcPr>
          <w:p w14:paraId="1B4A7974" w14:textId="17A3EC4E" w:rsidR="00464D1C" w:rsidRDefault="00163E83" w:rsidP="00AF1FFE">
            <w:pPr>
              <w:jc w:val="center"/>
            </w:pPr>
            <w:r>
              <w:t>0,8 %</w:t>
            </w:r>
          </w:p>
        </w:tc>
        <w:tc>
          <w:tcPr>
            <w:tcW w:w="1134" w:type="dxa"/>
            <w:vAlign w:val="center"/>
          </w:tcPr>
          <w:p w14:paraId="1322079F" w14:textId="2FBB4508" w:rsidR="00464D1C" w:rsidRDefault="00163E83" w:rsidP="00AF1FFE">
            <w:pPr>
              <w:jc w:val="center"/>
            </w:pPr>
            <w:r>
              <w:t>0,3 %</w:t>
            </w:r>
          </w:p>
        </w:tc>
        <w:tc>
          <w:tcPr>
            <w:tcW w:w="1134" w:type="dxa"/>
            <w:vAlign w:val="center"/>
          </w:tcPr>
          <w:p w14:paraId="7A020A94" w14:textId="43645053" w:rsidR="00464D1C" w:rsidRDefault="001531A6" w:rsidP="00AF1FFE">
            <w:pPr>
              <w:jc w:val="center"/>
            </w:pPr>
            <w:r>
              <w:t xml:space="preserve">- 0,5 </w:t>
            </w:r>
            <w:r>
              <w:br/>
              <w:t>point</w:t>
            </w:r>
          </w:p>
        </w:tc>
      </w:tr>
      <w:tr w:rsidR="00464D1C" w14:paraId="19155D19" w14:textId="012298F0" w:rsidTr="00AF1FFE">
        <w:trPr>
          <w:trHeight w:val="1020"/>
          <w:jc w:val="center"/>
        </w:trPr>
        <w:tc>
          <w:tcPr>
            <w:tcW w:w="5102" w:type="dxa"/>
            <w:vAlign w:val="center"/>
          </w:tcPr>
          <w:p w14:paraId="4446FD4D" w14:textId="7E4364E8" w:rsidR="00464D1C" w:rsidRDefault="00BC0CDD" w:rsidP="00AF1FFE">
            <w:pPr>
              <w:jc w:val="center"/>
            </w:pPr>
            <w:r w:rsidRPr="00AF1FFE">
              <w:rPr>
                <w:b/>
                <w:bCs/>
                <w:sz w:val="28"/>
                <w:szCs w:val="28"/>
              </w:rPr>
              <w:t>Équipementiers réseaux</w:t>
            </w:r>
            <w:r w:rsidRPr="00AF1FFE">
              <w:rPr>
                <w:sz w:val="28"/>
                <w:szCs w:val="28"/>
              </w:rPr>
              <w:t xml:space="preserve"> </w:t>
            </w:r>
            <w:r w:rsidR="00AF1FFE" w:rsidRPr="00AF1FFE">
              <w:rPr>
                <w:sz w:val="28"/>
                <w:szCs w:val="28"/>
              </w:rPr>
              <w:br/>
            </w:r>
            <w:r>
              <w:t>(Nokia</w:t>
            </w:r>
            <w:r w:rsidR="00C603BA">
              <w:t xml:space="preserve"> Siemens Networks</w:t>
            </w:r>
            <w:r>
              <w:t xml:space="preserve">, IBM, Cisco, </w:t>
            </w:r>
            <w:r w:rsidR="00AF1FFE">
              <w:br/>
            </w:r>
            <w:r>
              <w:t>Ericsson, Equinix, No</w:t>
            </w:r>
            <w:r w:rsidR="00C603BA">
              <w:t>kia Networks)</w:t>
            </w:r>
          </w:p>
        </w:tc>
        <w:tc>
          <w:tcPr>
            <w:tcW w:w="1134" w:type="dxa"/>
            <w:vAlign w:val="center"/>
          </w:tcPr>
          <w:p w14:paraId="72705893" w14:textId="7A2A4358" w:rsidR="00464D1C" w:rsidRDefault="00163E83" w:rsidP="00AF1FFE">
            <w:pPr>
              <w:jc w:val="center"/>
            </w:pPr>
            <w:r>
              <w:t>3,9 %</w:t>
            </w:r>
          </w:p>
        </w:tc>
        <w:tc>
          <w:tcPr>
            <w:tcW w:w="1134" w:type="dxa"/>
            <w:vAlign w:val="center"/>
          </w:tcPr>
          <w:p w14:paraId="5B02E4EE" w14:textId="5AFA417A" w:rsidR="00464D1C" w:rsidRDefault="00163E83" w:rsidP="00AF1FFE">
            <w:pPr>
              <w:jc w:val="center"/>
            </w:pPr>
            <w:r>
              <w:t>2,9 %</w:t>
            </w:r>
          </w:p>
        </w:tc>
        <w:tc>
          <w:tcPr>
            <w:tcW w:w="1134" w:type="dxa"/>
            <w:vAlign w:val="center"/>
          </w:tcPr>
          <w:p w14:paraId="2751D82D" w14:textId="4BCF2ACA" w:rsidR="00464D1C" w:rsidRDefault="001531A6" w:rsidP="00AF1FFE">
            <w:pPr>
              <w:jc w:val="center"/>
            </w:pPr>
            <w:r>
              <w:t>- 1</w:t>
            </w:r>
            <w:r>
              <w:br/>
              <w:t>point</w:t>
            </w:r>
          </w:p>
        </w:tc>
      </w:tr>
      <w:tr w:rsidR="00464D1C" w14:paraId="419E382D" w14:textId="11F6D8AF" w:rsidTr="00AF1FFE">
        <w:trPr>
          <w:trHeight w:val="1020"/>
          <w:jc w:val="center"/>
        </w:trPr>
        <w:tc>
          <w:tcPr>
            <w:tcW w:w="5102" w:type="dxa"/>
            <w:vAlign w:val="center"/>
          </w:tcPr>
          <w:p w14:paraId="63A14B5E" w14:textId="798577C4" w:rsidR="00464D1C" w:rsidRDefault="00C603BA" w:rsidP="00AF1FFE">
            <w:pPr>
              <w:jc w:val="center"/>
            </w:pPr>
            <w:r w:rsidRPr="00AF1FFE">
              <w:rPr>
                <w:b/>
                <w:bCs/>
                <w:sz w:val="28"/>
                <w:szCs w:val="28"/>
              </w:rPr>
              <w:t>Fournisseurs de contenus</w:t>
            </w:r>
            <w:r w:rsidRPr="00AF1FFE">
              <w:rPr>
                <w:sz w:val="28"/>
                <w:szCs w:val="28"/>
              </w:rPr>
              <w:t xml:space="preserve"> </w:t>
            </w:r>
            <w:r w:rsidR="00AF1FFE" w:rsidRPr="00AF1FFE">
              <w:rPr>
                <w:sz w:val="28"/>
                <w:szCs w:val="28"/>
              </w:rPr>
              <w:br/>
            </w:r>
            <w:r>
              <w:t>(France Télévisions, TF1, M6, Canal+, Netflix)</w:t>
            </w:r>
          </w:p>
        </w:tc>
        <w:tc>
          <w:tcPr>
            <w:tcW w:w="1134" w:type="dxa"/>
            <w:vAlign w:val="center"/>
          </w:tcPr>
          <w:p w14:paraId="3DD53355" w14:textId="7EB6BB01" w:rsidR="00464D1C" w:rsidRDefault="00163E83" w:rsidP="00AF1FFE">
            <w:pPr>
              <w:jc w:val="center"/>
            </w:pPr>
            <w:r>
              <w:t>5,4 %</w:t>
            </w:r>
          </w:p>
        </w:tc>
        <w:tc>
          <w:tcPr>
            <w:tcW w:w="1134" w:type="dxa"/>
            <w:vAlign w:val="center"/>
          </w:tcPr>
          <w:p w14:paraId="371F2A15" w14:textId="0B79B66B" w:rsidR="00464D1C" w:rsidRDefault="00163E83" w:rsidP="00AF1FFE">
            <w:pPr>
              <w:jc w:val="center"/>
            </w:pPr>
            <w:r>
              <w:t>3,4 %</w:t>
            </w:r>
          </w:p>
        </w:tc>
        <w:tc>
          <w:tcPr>
            <w:tcW w:w="1134" w:type="dxa"/>
            <w:vAlign w:val="center"/>
          </w:tcPr>
          <w:p w14:paraId="45E37802" w14:textId="22BA5907" w:rsidR="00464D1C" w:rsidRDefault="001531A6" w:rsidP="00AF1FFE">
            <w:pPr>
              <w:jc w:val="center"/>
            </w:pPr>
            <w:r>
              <w:t>- 2,1</w:t>
            </w:r>
            <w:r>
              <w:br/>
              <w:t>points</w:t>
            </w:r>
          </w:p>
        </w:tc>
      </w:tr>
      <w:tr w:rsidR="00464D1C" w14:paraId="53F997DB" w14:textId="02B2A028" w:rsidTr="00AF1FFE">
        <w:trPr>
          <w:trHeight w:val="1020"/>
          <w:jc w:val="center"/>
        </w:trPr>
        <w:tc>
          <w:tcPr>
            <w:tcW w:w="5102" w:type="dxa"/>
            <w:vAlign w:val="center"/>
          </w:tcPr>
          <w:p w14:paraId="6DDDFA4D" w14:textId="0418D28B" w:rsidR="00464D1C" w:rsidRDefault="00C603BA" w:rsidP="00AF1FFE">
            <w:pPr>
              <w:jc w:val="center"/>
            </w:pPr>
            <w:r w:rsidRPr="00AF1FFE">
              <w:rPr>
                <w:b/>
                <w:bCs/>
                <w:sz w:val="28"/>
                <w:szCs w:val="28"/>
              </w:rPr>
              <w:t>Acteurs Internet</w:t>
            </w:r>
            <w:r w:rsidRPr="00AF1FFE">
              <w:rPr>
                <w:sz w:val="28"/>
                <w:szCs w:val="28"/>
              </w:rPr>
              <w:t xml:space="preserve"> </w:t>
            </w:r>
            <w:r w:rsidR="00AF1FFE" w:rsidRPr="00AF1FFE">
              <w:rPr>
                <w:sz w:val="28"/>
                <w:szCs w:val="28"/>
              </w:rPr>
              <w:br/>
            </w:r>
            <w:r>
              <w:t>(Google, Amazon, Facebook, Microsoft, Yahoo!)</w:t>
            </w:r>
          </w:p>
        </w:tc>
        <w:tc>
          <w:tcPr>
            <w:tcW w:w="1134" w:type="dxa"/>
            <w:vAlign w:val="center"/>
          </w:tcPr>
          <w:p w14:paraId="77D841A6" w14:textId="48DEDEBC" w:rsidR="00464D1C" w:rsidRDefault="00163E83" w:rsidP="00AF1FFE">
            <w:pPr>
              <w:jc w:val="center"/>
            </w:pPr>
            <w:r>
              <w:t>0,9 %</w:t>
            </w:r>
          </w:p>
        </w:tc>
        <w:tc>
          <w:tcPr>
            <w:tcW w:w="1134" w:type="dxa"/>
            <w:vAlign w:val="center"/>
          </w:tcPr>
          <w:p w14:paraId="3E5B69E0" w14:textId="0486DB94" w:rsidR="00464D1C" w:rsidRDefault="00163E83" w:rsidP="00AF1FFE">
            <w:pPr>
              <w:jc w:val="center"/>
            </w:pPr>
            <w:r>
              <w:t>0,3 %</w:t>
            </w:r>
          </w:p>
        </w:tc>
        <w:tc>
          <w:tcPr>
            <w:tcW w:w="1134" w:type="dxa"/>
            <w:vAlign w:val="center"/>
          </w:tcPr>
          <w:p w14:paraId="19B6E1AB" w14:textId="6CA4846A" w:rsidR="00464D1C" w:rsidRDefault="001531A6" w:rsidP="00AF1FFE">
            <w:pPr>
              <w:jc w:val="center"/>
            </w:pPr>
            <w:r>
              <w:t>- 0,</w:t>
            </w:r>
            <w:r w:rsidR="004F5E68">
              <w:t>6</w:t>
            </w:r>
            <w:r w:rsidR="004F5E68">
              <w:br/>
              <w:t>point</w:t>
            </w:r>
          </w:p>
        </w:tc>
      </w:tr>
    </w:tbl>
    <w:p w14:paraId="76416C76" w14:textId="6829E5B1" w:rsidR="00D46C37" w:rsidRDefault="003E7F86" w:rsidP="003E7F86">
      <w:pPr>
        <w:spacing w:before="240"/>
      </w:pPr>
      <w:r>
        <w:t>Les montants payés en impôts restent constants alors que les revenus estimés augmentent.</w:t>
      </w:r>
    </w:p>
    <w:p w14:paraId="2A5DA3A6" w14:textId="50B72479" w:rsidR="003E7F86" w:rsidRPr="0050392D" w:rsidRDefault="00EA1D10" w:rsidP="0050392D">
      <w:pPr>
        <w:rPr>
          <w:color w:val="595959" w:themeColor="text1" w:themeTint="A6"/>
          <w:sz w:val="18"/>
          <w:szCs w:val="18"/>
        </w:rPr>
      </w:pPr>
      <w:r w:rsidRPr="0050392D">
        <w:rPr>
          <w:color w:val="595959" w:themeColor="text1" w:themeTint="A6"/>
          <w:sz w:val="18"/>
          <w:szCs w:val="18"/>
        </w:rPr>
        <w:t>Source : Diane, rapports annuels, analyse Arthur D. Little.</w:t>
      </w:r>
      <w:r w:rsidR="001139F3" w:rsidRPr="0050392D">
        <w:rPr>
          <w:color w:val="595959" w:themeColor="text1" w:themeTint="A6"/>
          <w:sz w:val="18"/>
          <w:szCs w:val="18"/>
        </w:rPr>
        <w:t xml:space="preserve"> </w:t>
      </w:r>
      <w:r w:rsidRPr="0050392D">
        <w:rPr>
          <w:color w:val="595959" w:themeColor="text1" w:themeTint="A6"/>
          <w:sz w:val="18"/>
          <w:szCs w:val="18"/>
        </w:rPr>
        <w:t>(1) Impôt sur les sociétés et impôts, taxes et versements assimilés – hors amendes, accords, redressements payés par les acteurs Internet entre 2018 et 2020.</w:t>
      </w:r>
      <w:r w:rsidR="001139F3" w:rsidRPr="0050392D">
        <w:rPr>
          <w:color w:val="595959" w:themeColor="text1" w:themeTint="A6"/>
          <w:sz w:val="18"/>
          <w:szCs w:val="18"/>
        </w:rPr>
        <w:t xml:space="preserve"> </w:t>
      </w:r>
      <w:r w:rsidRPr="0050392D">
        <w:rPr>
          <w:color w:val="595959" w:themeColor="text1" w:themeTint="A6"/>
          <w:sz w:val="18"/>
          <w:szCs w:val="18"/>
        </w:rPr>
        <w:t>(2) Chiffre d’affaires déclaré en France ou recherche documentaire.</w:t>
      </w:r>
      <w:r w:rsidR="001139F3" w:rsidRPr="0050392D">
        <w:rPr>
          <w:color w:val="595959" w:themeColor="text1" w:themeTint="A6"/>
          <w:sz w:val="18"/>
          <w:szCs w:val="18"/>
        </w:rPr>
        <w:t xml:space="preserve"> </w:t>
      </w:r>
      <w:r w:rsidRPr="0050392D">
        <w:rPr>
          <w:color w:val="595959" w:themeColor="text1" w:themeTint="A6"/>
          <w:sz w:val="18"/>
          <w:szCs w:val="18"/>
        </w:rPr>
        <w:t>(3) Données redressées pour prendre en compte le chiffre d’affaires effectif estimé des acteurs internationaux en France.</w:t>
      </w:r>
    </w:p>
    <w:p w14:paraId="73D9FED0" w14:textId="03B5FBF1" w:rsidR="00EA1D10" w:rsidRDefault="00EA1D10" w:rsidP="00AF1FFE">
      <w:pPr>
        <w:pStyle w:val="Titre2"/>
        <w:spacing w:before="600"/>
      </w:pPr>
      <w:r w:rsidRPr="00EA1D10">
        <w:t>Le poids de la fiscalité spécifique</w:t>
      </w:r>
    </w:p>
    <w:p w14:paraId="778EFE86" w14:textId="189B76FA" w:rsidR="005A61E8" w:rsidRDefault="002B205D" w:rsidP="002B205D">
      <w:r>
        <w:t>Fiscalité spécifique (en millions d’euros). Consolidation des taxes et redevances sectorielles payées par les opérateurs de la Fédération Française des Télécoms (Bouygues Telecom, Euro-Information Telecom, Orange et SFR).</w:t>
      </w:r>
    </w:p>
    <w:p w14:paraId="1F300C58" w14:textId="75245CF5" w:rsidR="002B205D" w:rsidRDefault="002B205D" w:rsidP="002B205D">
      <w:pPr>
        <w:pStyle w:val="Paragraphedeliste"/>
        <w:numPr>
          <w:ilvl w:val="0"/>
          <w:numId w:val="11"/>
        </w:numPr>
      </w:pPr>
      <w:r w:rsidRPr="001139F3">
        <w:rPr>
          <w:b/>
          <w:bCs/>
        </w:rPr>
        <w:t>IFER cuivre</w:t>
      </w:r>
      <w:r>
        <w:t xml:space="preserve"> : 399 millions </w:t>
      </w:r>
      <w:r w:rsidR="001139F3">
        <w:t>d’euros ;</w:t>
      </w:r>
    </w:p>
    <w:p w14:paraId="5F19A9F1" w14:textId="1166050E" w:rsidR="002B205D" w:rsidRDefault="002B205D" w:rsidP="002B205D">
      <w:pPr>
        <w:pStyle w:val="Paragraphedeliste"/>
        <w:numPr>
          <w:ilvl w:val="0"/>
          <w:numId w:val="11"/>
        </w:numPr>
      </w:pPr>
      <w:r w:rsidRPr="001139F3">
        <w:rPr>
          <w:b/>
          <w:bCs/>
        </w:rPr>
        <w:t>Fréquences + FH</w:t>
      </w:r>
      <w:r>
        <w:t xml:space="preserve"> : </w:t>
      </w:r>
      <w:r w:rsidR="00FA1F5E">
        <w:t xml:space="preserve">206 millions </w:t>
      </w:r>
      <w:r w:rsidR="001139F3" w:rsidRPr="001139F3">
        <w:t>d’euros ;</w:t>
      </w:r>
    </w:p>
    <w:p w14:paraId="638546F1" w14:textId="22B1FB7B" w:rsidR="00FA1F5E" w:rsidRDefault="00FA1F5E" w:rsidP="002B205D">
      <w:pPr>
        <w:pStyle w:val="Paragraphedeliste"/>
        <w:numPr>
          <w:ilvl w:val="0"/>
          <w:numId w:val="11"/>
        </w:numPr>
      </w:pPr>
      <w:r w:rsidRPr="001139F3">
        <w:rPr>
          <w:b/>
          <w:bCs/>
        </w:rPr>
        <w:t>Copie privée</w:t>
      </w:r>
      <w:r>
        <w:t xml:space="preserve"> : 89,5 millions </w:t>
      </w:r>
      <w:r w:rsidR="001139F3" w:rsidRPr="001139F3">
        <w:t>d’euros ;</w:t>
      </w:r>
    </w:p>
    <w:p w14:paraId="5240CFB6" w14:textId="3886F5F2" w:rsidR="00FA1F5E" w:rsidRDefault="00FA1F5E" w:rsidP="002B205D">
      <w:pPr>
        <w:pStyle w:val="Paragraphedeliste"/>
        <w:numPr>
          <w:ilvl w:val="0"/>
          <w:numId w:val="11"/>
        </w:numPr>
      </w:pPr>
      <w:r w:rsidRPr="001139F3">
        <w:rPr>
          <w:b/>
          <w:bCs/>
        </w:rPr>
        <w:t>IFER antennes</w:t>
      </w:r>
      <w:r>
        <w:t xml:space="preserve"> : 197 millions </w:t>
      </w:r>
      <w:r w:rsidR="001139F3" w:rsidRPr="001139F3">
        <w:t>d’euros ;</w:t>
      </w:r>
    </w:p>
    <w:p w14:paraId="2B551252" w14:textId="6607DFEB" w:rsidR="00FA1F5E" w:rsidRDefault="00FA1F5E" w:rsidP="002B205D">
      <w:pPr>
        <w:pStyle w:val="Paragraphedeliste"/>
        <w:numPr>
          <w:ilvl w:val="0"/>
          <w:numId w:val="11"/>
        </w:numPr>
      </w:pPr>
      <w:r w:rsidRPr="001139F3">
        <w:rPr>
          <w:b/>
          <w:bCs/>
        </w:rPr>
        <w:t>VOD</w:t>
      </w:r>
      <w:r>
        <w:t xml:space="preserve"> : 4 millions </w:t>
      </w:r>
      <w:r w:rsidR="001139F3" w:rsidRPr="001139F3">
        <w:t>d’euros ;</w:t>
      </w:r>
    </w:p>
    <w:p w14:paraId="686C0E3E" w14:textId="7F134B4A" w:rsidR="00FA1F5E" w:rsidRDefault="00FA1F5E" w:rsidP="002B205D">
      <w:pPr>
        <w:pStyle w:val="Paragraphedeliste"/>
        <w:numPr>
          <w:ilvl w:val="0"/>
          <w:numId w:val="11"/>
        </w:numPr>
      </w:pPr>
      <w:r w:rsidRPr="001139F3">
        <w:rPr>
          <w:b/>
          <w:bCs/>
        </w:rPr>
        <w:t>TOCE (France TV)</w:t>
      </w:r>
      <w:r>
        <w:t xml:space="preserve"> : 197 millions </w:t>
      </w:r>
      <w:r w:rsidR="001139F3" w:rsidRPr="001139F3">
        <w:t>d’euros ;</w:t>
      </w:r>
    </w:p>
    <w:p w14:paraId="7EA3794F" w14:textId="11BCC8EB" w:rsidR="0050392D" w:rsidRDefault="00FA1F5E" w:rsidP="002B205D">
      <w:pPr>
        <w:pStyle w:val="Paragraphedeliste"/>
        <w:numPr>
          <w:ilvl w:val="0"/>
          <w:numId w:val="11"/>
        </w:numPr>
      </w:pPr>
      <w:r w:rsidRPr="001139F3">
        <w:rPr>
          <w:b/>
          <w:bCs/>
        </w:rPr>
        <w:t>COSIP (CNC)</w:t>
      </w:r>
      <w:r>
        <w:t xml:space="preserve"> : 133,5 millions </w:t>
      </w:r>
      <w:r w:rsidR="001139F3" w:rsidRPr="001139F3">
        <w:t>d’euros</w:t>
      </w:r>
      <w:r w:rsidR="001139F3">
        <w:t>.</w:t>
      </w:r>
    </w:p>
    <w:p w14:paraId="12748D4E" w14:textId="77777777" w:rsidR="0050392D" w:rsidRDefault="0050392D">
      <w:r>
        <w:br w:type="page"/>
      </w:r>
    </w:p>
    <w:p w14:paraId="262DF9B4" w14:textId="1A677219" w:rsidR="00FA1F5E" w:rsidRDefault="00156B8D" w:rsidP="00156B8D">
      <w:pPr>
        <w:pStyle w:val="Titre1"/>
      </w:pPr>
      <w:r>
        <w:lastRenderedPageBreak/>
        <w:t>Les télécoms françaises toujours sous tension</w:t>
      </w:r>
    </w:p>
    <w:p w14:paraId="0D90F044" w14:textId="424C68D1" w:rsidR="00156B8D" w:rsidRDefault="00156B8D" w:rsidP="00156B8D">
      <w:pPr>
        <w:pStyle w:val="Titre2"/>
      </w:pPr>
      <w:r>
        <w:t>Pression continue sur les revenus malgré l’effort d’investissement croissant</w:t>
      </w:r>
    </w:p>
    <w:p w14:paraId="085DEDA0" w14:textId="4B1B9BB9" w:rsidR="00156B8D" w:rsidRDefault="008F0E3F" w:rsidP="008F0E3F">
      <w:r w:rsidRPr="004A5179">
        <w:rPr>
          <w:b/>
          <w:bCs/>
        </w:rPr>
        <w:t>Emplois, revenus et investissements des opérateurs télécoms en France</w:t>
      </w:r>
      <w:r>
        <w:t>, 2010-2019, base 100 en 2010.</w:t>
      </w:r>
    </w:p>
    <w:tbl>
      <w:tblPr>
        <w:tblStyle w:val="Grilledutableau"/>
        <w:tblW w:w="0" w:type="auto"/>
        <w:jc w:val="center"/>
        <w:tblLook w:val="04A0" w:firstRow="1" w:lastRow="0" w:firstColumn="1" w:lastColumn="0" w:noHBand="0" w:noVBand="1"/>
      </w:tblPr>
      <w:tblGrid>
        <w:gridCol w:w="2401"/>
        <w:gridCol w:w="2234"/>
        <w:gridCol w:w="2302"/>
        <w:gridCol w:w="2125"/>
      </w:tblGrid>
      <w:tr w:rsidR="00320DC7" w14:paraId="22674952" w14:textId="71A1D0E3" w:rsidTr="00AF1FFE">
        <w:trPr>
          <w:trHeight w:val="850"/>
          <w:jc w:val="center"/>
        </w:trPr>
        <w:tc>
          <w:tcPr>
            <w:tcW w:w="2401" w:type="dxa"/>
            <w:shd w:val="clear" w:color="auto" w:fill="EBF0F5"/>
            <w:vAlign w:val="center"/>
          </w:tcPr>
          <w:p w14:paraId="376DE5E9" w14:textId="2A676929" w:rsidR="00320DC7" w:rsidRPr="003F2E71" w:rsidRDefault="00320DC7" w:rsidP="00AF1FFE">
            <w:pPr>
              <w:jc w:val="center"/>
              <w:rPr>
                <w:b/>
                <w:bCs/>
              </w:rPr>
            </w:pPr>
            <w:r>
              <w:rPr>
                <w:b/>
                <w:bCs/>
              </w:rPr>
              <w:t>Catégorie</w:t>
            </w:r>
          </w:p>
        </w:tc>
        <w:tc>
          <w:tcPr>
            <w:tcW w:w="2234" w:type="dxa"/>
            <w:shd w:val="clear" w:color="auto" w:fill="EBF0F5"/>
            <w:vAlign w:val="center"/>
          </w:tcPr>
          <w:p w14:paraId="0E19E65A" w14:textId="4FD71182" w:rsidR="00320DC7" w:rsidRPr="003F2E71" w:rsidRDefault="00320DC7" w:rsidP="00AF1FFE">
            <w:pPr>
              <w:jc w:val="center"/>
              <w:rPr>
                <w:b/>
                <w:bCs/>
              </w:rPr>
            </w:pPr>
            <w:r>
              <w:rPr>
                <w:b/>
                <w:bCs/>
              </w:rPr>
              <w:t>Valeur en 2019</w:t>
            </w:r>
          </w:p>
        </w:tc>
        <w:tc>
          <w:tcPr>
            <w:tcW w:w="2302" w:type="dxa"/>
            <w:shd w:val="clear" w:color="auto" w:fill="EBF0F5"/>
            <w:vAlign w:val="center"/>
          </w:tcPr>
          <w:p w14:paraId="12A6C1D8" w14:textId="4AFE480B" w:rsidR="00320DC7" w:rsidRDefault="00320DC7" w:rsidP="00AF1FFE">
            <w:pPr>
              <w:jc w:val="center"/>
              <w:rPr>
                <w:b/>
                <w:bCs/>
              </w:rPr>
            </w:pPr>
            <w:r>
              <w:rPr>
                <w:b/>
                <w:bCs/>
              </w:rPr>
              <w:t>Croissance annuelle moyenne 2010-2019</w:t>
            </w:r>
          </w:p>
        </w:tc>
        <w:tc>
          <w:tcPr>
            <w:tcW w:w="2125" w:type="dxa"/>
            <w:shd w:val="clear" w:color="auto" w:fill="EBF0F5"/>
            <w:vAlign w:val="center"/>
          </w:tcPr>
          <w:p w14:paraId="67D7962A" w14:textId="58E03235" w:rsidR="00320DC7" w:rsidRDefault="00320DC7" w:rsidP="00AF1FFE">
            <w:pPr>
              <w:jc w:val="center"/>
              <w:rPr>
                <w:b/>
                <w:bCs/>
              </w:rPr>
            </w:pPr>
            <w:r w:rsidRPr="00320DC7">
              <w:rPr>
                <w:b/>
                <w:bCs/>
              </w:rPr>
              <w:t>Croissance annuelle moyenne 201</w:t>
            </w:r>
            <w:r>
              <w:rPr>
                <w:b/>
                <w:bCs/>
              </w:rPr>
              <w:t>8</w:t>
            </w:r>
            <w:r w:rsidRPr="00320DC7">
              <w:rPr>
                <w:b/>
                <w:bCs/>
              </w:rPr>
              <w:t>-2019</w:t>
            </w:r>
          </w:p>
        </w:tc>
      </w:tr>
      <w:tr w:rsidR="00320DC7" w14:paraId="5EE00206" w14:textId="06B668E4" w:rsidTr="00AF1FFE">
        <w:trPr>
          <w:trHeight w:val="680"/>
          <w:jc w:val="center"/>
        </w:trPr>
        <w:tc>
          <w:tcPr>
            <w:tcW w:w="2401" w:type="dxa"/>
            <w:vAlign w:val="center"/>
          </w:tcPr>
          <w:p w14:paraId="6F749E10" w14:textId="63BB04E6" w:rsidR="00320DC7" w:rsidRDefault="00320DC7" w:rsidP="00AF1FFE">
            <w:pPr>
              <w:jc w:val="center"/>
            </w:pPr>
            <w:r w:rsidRPr="004E0386">
              <w:t>Effort d’investissement</w:t>
            </w:r>
            <w:r w:rsidR="007E4F7D" w:rsidRPr="007E4F7D">
              <w:rPr>
                <w:vertAlign w:val="superscript"/>
              </w:rPr>
              <w:t>1</w:t>
            </w:r>
          </w:p>
        </w:tc>
        <w:tc>
          <w:tcPr>
            <w:tcW w:w="2234" w:type="dxa"/>
            <w:vAlign w:val="center"/>
          </w:tcPr>
          <w:p w14:paraId="67E0AC65" w14:textId="7783595C" w:rsidR="00320DC7" w:rsidRDefault="00320DC7" w:rsidP="00AF1FFE">
            <w:pPr>
              <w:jc w:val="center"/>
            </w:pPr>
            <w:r>
              <w:t>201</w:t>
            </w:r>
          </w:p>
        </w:tc>
        <w:tc>
          <w:tcPr>
            <w:tcW w:w="2302" w:type="dxa"/>
            <w:vAlign w:val="center"/>
          </w:tcPr>
          <w:p w14:paraId="31427DC7" w14:textId="2C4970A9" w:rsidR="00320DC7" w:rsidRDefault="00320DC7" w:rsidP="00AF1FFE">
            <w:pPr>
              <w:jc w:val="center"/>
            </w:pPr>
            <w:r>
              <w:t>8,1 %</w:t>
            </w:r>
          </w:p>
        </w:tc>
        <w:tc>
          <w:tcPr>
            <w:tcW w:w="2125" w:type="dxa"/>
            <w:vAlign w:val="center"/>
          </w:tcPr>
          <w:p w14:paraId="1EE29EE3" w14:textId="3CE8C9D2" w:rsidR="00320DC7" w:rsidRDefault="00320DC7" w:rsidP="00AF1FFE">
            <w:pPr>
              <w:jc w:val="center"/>
            </w:pPr>
            <w:r w:rsidRPr="00320DC7">
              <w:t>1 %</w:t>
            </w:r>
          </w:p>
        </w:tc>
      </w:tr>
      <w:tr w:rsidR="00320DC7" w14:paraId="08CFB65E" w14:textId="764E6732" w:rsidTr="00AF1FFE">
        <w:trPr>
          <w:trHeight w:val="680"/>
          <w:jc w:val="center"/>
        </w:trPr>
        <w:tc>
          <w:tcPr>
            <w:tcW w:w="2401" w:type="dxa"/>
            <w:vAlign w:val="center"/>
          </w:tcPr>
          <w:p w14:paraId="52BA8C00" w14:textId="1E32BFAE" w:rsidR="00320DC7" w:rsidRDefault="00320DC7" w:rsidP="00AF1FFE">
            <w:pPr>
              <w:jc w:val="center"/>
            </w:pPr>
            <w:r w:rsidRPr="004E0386">
              <w:t>Investissements opérateurs² (hors achats de fréquences)</w:t>
            </w:r>
          </w:p>
        </w:tc>
        <w:tc>
          <w:tcPr>
            <w:tcW w:w="2234" w:type="dxa"/>
            <w:vAlign w:val="center"/>
          </w:tcPr>
          <w:p w14:paraId="5999C473" w14:textId="56F650F3" w:rsidR="00320DC7" w:rsidRDefault="00320DC7" w:rsidP="00AF1FFE">
            <w:pPr>
              <w:jc w:val="center"/>
            </w:pPr>
            <w:r>
              <w:t>163</w:t>
            </w:r>
          </w:p>
        </w:tc>
        <w:tc>
          <w:tcPr>
            <w:tcW w:w="2302" w:type="dxa"/>
            <w:vAlign w:val="center"/>
          </w:tcPr>
          <w:p w14:paraId="7B12518E" w14:textId="6BC22BF4" w:rsidR="00320DC7" w:rsidRDefault="00320DC7" w:rsidP="00AF1FFE">
            <w:pPr>
              <w:jc w:val="center"/>
            </w:pPr>
            <w:r>
              <w:t>5,6</w:t>
            </w:r>
            <w:r w:rsidRPr="00320DC7">
              <w:t xml:space="preserve"> %</w:t>
            </w:r>
          </w:p>
        </w:tc>
        <w:tc>
          <w:tcPr>
            <w:tcW w:w="2125" w:type="dxa"/>
            <w:vAlign w:val="center"/>
          </w:tcPr>
          <w:p w14:paraId="38D9EC97" w14:textId="57ADAB20" w:rsidR="00320DC7" w:rsidRDefault="00320DC7" w:rsidP="00AF1FFE">
            <w:pPr>
              <w:jc w:val="center"/>
            </w:pPr>
            <w:r w:rsidRPr="00320DC7">
              <w:t>1 %</w:t>
            </w:r>
          </w:p>
        </w:tc>
      </w:tr>
      <w:tr w:rsidR="00320DC7" w14:paraId="5D15D86F" w14:textId="5B9886EF" w:rsidTr="00AF1FFE">
        <w:trPr>
          <w:trHeight w:val="680"/>
          <w:jc w:val="center"/>
        </w:trPr>
        <w:tc>
          <w:tcPr>
            <w:tcW w:w="2401" w:type="dxa"/>
            <w:vAlign w:val="center"/>
          </w:tcPr>
          <w:p w14:paraId="2393D857" w14:textId="55F97C61" w:rsidR="00320DC7" w:rsidRDefault="00320DC7" w:rsidP="00AF1FFE">
            <w:pPr>
              <w:jc w:val="center"/>
            </w:pPr>
            <w:r w:rsidRPr="004E0386">
              <w:t>Emplois secteur</w:t>
            </w:r>
            <w:r w:rsidRPr="004E0386">
              <w:rPr>
                <w:vertAlign w:val="superscript"/>
              </w:rPr>
              <w:t>4</w:t>
            </w:r>
          </w:p>
        </w:tc>
        <w:tc>
          <w:tcPr>
            <w:tcW w:w="2234" w:type="dxa"/>
            <w:vAlign w:val="center"/>
          </w:tcPr>
          <w:p w14:paraId="79DF512D" w14:textId="1D360C8E" w:rsidR="00320DC7" w:rsidRDefault="00320DC7" w:rsidP="00AF1FFE">
            <w:pPr>
              <w:jc w:val="center"/>
            </w:pPr>
            <w:r>
              <w:t>83</w:t>
            </w:r>
          </w:p>
        </w:tc>
        <w:tc>
          <w:tcPr>
            <w:tcW w:w="2302" w:type="dxa"/>
            <w:vAlign w:val="center"/>
          </w:tcPr>
          <w:p w14:paraId="073A27CF" w14:textId="32AFB759" w:rsidR="00320DC7" w:rsidRDefault="00320DC7" w:rsidP="00AF1FFE">
            <w:pPr>
              <w:jc w:val="center"/>
            </w:pPr>
            <w:r>
              <w:t>- 2,2</w:t>
            </w:r>
            <w:r w:rsidRPr="00320DC7">
              <w:t xml:space="preserve"> %</w:t>
            </w:r>
          </w:p>
        </w:tc>
        <w:tc>
          <w:tcPr>
            <w:tcW w:w="2125" w:type="dxa"/>
            <w:vAlign w:val="center"/>
          </w:tcPr>
          <w:p w14:paraId="057D73B7" w14:textId="17AD4243" w:rsidR="00320DC7" w:rsidRDefault="00320DC7" w:rsidP="00AF1FFE">
            <w:pPr>
              <w:jc w:val="center"/>
            </w:pPr>
            <w:r w:rsidRPr="00320DC7">
              <w:t>- 1 %</w:t>
            </w:r>
          </w:p>
        </w:tc>
      </w:tr>
      <w:tr w:rsidR="00320DC7" w14:paraId="0FAF9897" w14:textId="119FE01F" w:rsidTr="00AF1FFE">
        <w:trPr>
          <w:trHeight w:val="680"/>
          <w:jc w:val="center"/>
        </w:trPr>
        <w:tc>
          <w:tcPr>
            <w:tcW w:w="2401" w:type="dxa"/>
            <w:vAlign w:val="center"/>
          </w:tcPr>
          <w:p w14:paraId="2A1D08EC" w14:textId="7743164A" w:rsidR="00320DC7" w:rsidRDefault="00320DC7" w:rsidP="00AF1FFE">
            <w:pPr>
              <w:jc w:val="center"/>
            </w:pPr>
            <w:r w:rsidRPr="004E0386">
              <w:t>Chiffres d’affaires</w:t>
            </w:r>
            <w:r w:rsidR="007E4F7D">
              <w:rPr>
                <w:vertAlign w:val="superscript"/>
              </w:rPr>
              <w:t>5</w:t>
            </w:r>
          </w:p>
        </w:tc>
        <w:tc>
          <w:tcPr>
            <w:tcW w:w="2234" w:type="dxa"/>
            <w:vAlign w:val="center"/>
          </w:tcPr>
          <w:p w14:paraId="36EBFD1B" w14:textId="4DD7BCC2" w:rsidR="00320DC7" w:rsidRDefault="00320DC7" w:rsidP="00AF1FFE">
            <w:pPr>
              <w:jc w:val="center"/>
            </w:pPr>
            <w:r>
              <w:t>81</w:t>
            </w:r>
          </w:p>
        </w:tc>
        <w:tc>
          <w:tcPr>
            <w:tcW w:w="2302" w:type="dxa"/>
            <w:vAlign w:val="center"/>
          </w:tcPr>
          <w:p w14:paraId="1659D791" w14:textId="3754A327" w:rsidR="00320DC7" w:rsidRDefault="00320DC7" w:rsidP="00AF1FFE">
            <w:pPr>
              <w:jc w:val="center"/>
            </w:pPr>
            <w:r w:rsidRPr="00320DC7">
              <w:t>- 1 %</w:t>
            </w:r>
          </w:p>
        </w:tc>
        <w:tc>
          <w:tcPr>
            <w:tcW w:w="2125" w:type="dxa"/>
            <w:vAlign w:val="center"/>
          </w:tcPr>
          <w:p w14:paraId="3D65CBB2" w14:textId="256289FB" w:rsidR="00320DC7" w:rsidRDefault="00320DC7" w:rsidP="00AF1FFE">
            <w:pPr>
              <w:jc w:val="center"/>
            </w:pPr>
            <w:r w:rsidRPr="00320DC7">
              <w:t>- 1 %</w:t>
            </w:r>
          </w:p>
        </w:tc>
      </w:tr>
      <w:tr w:rsidR="00320DC7" w14:paraId="449F468D" w14:textId="63AFC297" w:rsidTr="00AF1FFE">
        <w:trPr>
          <w:trHeight w:val="680"/>
          <w:jc w:val="center"/>
        </w:trPr>
        <w:tc>
          <w:tcPr>
            <w:tcW w:w="2401" w:type="dxa"/>
            <w:vAlign w:val="center"/>
          </w:tcPr>
          <w:p w14:paraId="5E7D9432" w14:textId="0612E267" w:rsidR="00320DC7" w:rsidRDefault="00320DC7" w:rsidP="00AF1FFE">
            <w:pPr>
              <w:jc w:val="center"/>
            </w:pPr>
            <w:r w:rsidRPr="004E0386">
              <w:t>Emplois directs opérateurs</w:t>
            </w:r>
            <w:r w:rsidR="007E4F7D">
              <w:rPr>
                <w:vertAlign w:val="superscript"/>
              </w:rPr>
              <w:t>3</w:t>
            </w:r>
          </w:p>
        </w:tc>
        <w:tc>
          <w:tcPr>
            <w:tcW w:w="2234" w:type="dxa"/>
            <w:vAlign w:val="center"/>
          </w:tcPr>
          <w:p w14:paraId="12AB3CFA" w14:textId="5A3410FA" w:rsidR="00320DC7" w:rsidRDefault="00320DC7" w:rsidP="00AF1FFE">
            <w:pPr>
              <w:jc w:val="center"/>
            </w:pPr>
            <w:r>
              <w:t>82</w:t>
            </w:r>
          </w:p>
        </w:tc>
        <w:tc>
          <w:tcPr>
            <w:tcW w:w="2302" w:type="dxa"/>
            <w:vAlign w:val="center"/>
          </w:tcPr>
          <w:p w14:paraId="4E4EEB22" w14:textId="6248104B" w:rsidR="00320DC7" w:rsidRDefault="00320DC7" w:rsidP="00AF1FFE">
            <w:pPr>
              <w:jc w:val="center"/>
            </w:pPr>
            <w:r w:rsidRPr="00320DC7">
              <w:t>- 1 %</w:t>
            </w:r>
          </w:p>
        </w:tc>
        <w:tc>
          <w:tcPr>
            <w:tcW w:w="2125" w:type="dxa"/>
            <w:vAlign w:val="center"/>
          </w:tcPr>
          <w:p w14:paraId="68C9045A" w14:textId="41F7E710" w:rsidR="00320DC7" w:rsidRDefault="00320DC7" w:rsidP="00AF1FFE">
            <w:pPr>
              <w:jc w:val="center"/>
            </w:pPr>
            <w:r w:rsidRPr="00320DC7">
              <w:t>- 1 %</w:t>
            </w:r>
          </w:p>
        </w:tc>
      </w:tr>
    </w:tbl>
    <w:p w14:paraId="03E2C210" w14:textId="77777777" w:rsidR="004E0386" w:rsidRDefault="004E0386" w:rsidP="008F0E3F"/>
    <w:p w14:paraId="764E5EAE" w14:textId="0A0DECD3" w:rsidR="0050392D" w:rsidRDefault="007E4F7D" w:rsidP="007E4F7D">
      <w:pPr>
        <w:rPr>
          <w:color w:val="595959" w:themeColor="text1" w:themeTint="A6"/>
          <w:sz w:val="18"/>
          <w:szCs w:val="18"/>
        </w:rPr>
      </w:pPr>
      <w:r w:rsidRPr="0050392D">
        <w:rPr>
          <w:color w:val="595959" w:themeColor="text1" w:themeTint="A6"/>
          <w:sz w:val="18"/>
          <w:szCs w:val="18"/>
        </w:rPr>
        <w:t>Source : Arcep, DARES, Insee, analyse Arthur D. Little.</w:t>
      </w:r>
      <w:r w:rsidR="001139F3" w:rsidRPr="0050392D">
        <w:rPr>
          <w:color w:val="595959" w:themeColor="text1" w:themeTint="A6"/>
          <w:sz w:val="18"/>
          <w:szCs w:val="18"/>
        </w:rPr>
        <w:t xml:space="preserve"> </w:t>
      </w:r>
      <w:r w:rsidRPr="0050392D">
        <w:rPr>
          <w:color w:val="595959" w:themeColor="text1" w:themeTint="A6"/>
          <w:sz w:val="18"/>
          <w:szCs w:val="18"/>
        </w:rPr>
        <w:t>(1) Effort d’investissement : investissements des opérateurs (hors achat de fréquences) / revenus des opérateurs.</w:t>
      </w:r>
      <w:r w:rsidR="001139F3" w:rsidRPr="0050392D">
        <w:rPr>
          <w:color w:val="595959" w:themeColor="text1" w:themeTint="A6"/>
          <w:sz w:val="18"/>
          <w:szCs w:val="18"/>
        </w:rPr>
        <w:t xml:space="preserve"> </w:t>
      </w:r>
      <w:r w:rsidRPr="0050392D">
        <w:rPr>
          <w:color w:val="595959" w:themeColor="text1" w:themeTint="A6"/>
          <w:sz w:val="18"/>
          <w:szCs w:val="18"/>
        </w:rPr>
        <w:t>(2) Chiffres Arcep provisoires pour l’année 2019.</w:t>
      </w:r>
      <w:r w:rsidR="001139F3" w:rsidRPr="0050392D">
        <w:rPr>
          <w:color w:val="595959" w:themeColor="text1" w:themeTint="A6"/>
          <w:sz w:val="18"/>
          <w:szCs w:val="18"/>
        </w:rPr>
        <w:t xml:space="preserve"> </w:t>
      </w:r>
      <w:r w:rsidRPr="0050392D">
        <w:rPr>
          <w:color w:val="595959" w:themeColor="text1" w:themeTint="A6"/>
          <w:sz w:val="18"/>
          <w:szCs w:val="18"/>
        </w:rPr>
        <w:t>(3) Chiffres Arcep.</w:t>
      </w:r>
      <w:r w:rsidR="001139F3" w:rsidRPr="0050392D">
        <w:rPr>
          <w:color w:val="595959" w:themeColor="text1" w:themeTint="A6"/>
          <w:sz w:val="18"/>
          <w:szCs w:val="18"/>
        </w:rPr>
        <w:t xml:space="preserve"> </w:t>
      </w:r>
      <w:r w:rsidRPr="0050392D">
        <w:rPr>
          <w:color w:val="595959" w:themeColor="text1" w:themeTint="A6"/>
          <w:sz w:val="18"/>
          <w:szCs w:val="18"/>
        </w:rPr>
        <w:t>(4) Chiffres Arcep comprenant une partie des emplois indirects.</w:t>
      </w:r>
      <w:r w:rsidR="001139F3" w:rsidRPr="0050392D">
        <w:rPr>
          <w:color w:val="595959" w:themeColor="text1" w:themeTint="A6"/>
          <w:sz w:val="18"/>
          <w:szCs w:val="18"/>
        </w:rPr>
        <w:t xml:space="preserve"> </w:t>
      </w:r>
      <w:r w:rsidRPr="0050392D">
        <w:rPr>
          <w:color w:val="595959" w:themeColor="text1" w:themeTint="A6"/>
          <w:sz w:val="18"/>
          <w:szCs w:val="18"/>
        </w:rPr>
        <w:t>(5) Chiffres Arcep provisoires pour l’année 2019 correspondants au revenu perçu auprès du client final.</w:t>
      </w:r>
    </w:p>
    <w:p w14:paraId="53432402" w14:textId="77777777" w:rsidR="0050392D" w:rsidRDefault="0050392D">
      <w:pPr>
        <w:rPr>
          <w:color w:val="595959" w:themeColor="text1" w:themeTint="A6"/>
          <w:sz w:val="18"/>
          <w:szCs w:val="18"/>
        </w:rPr>
      </w:pPr>
      <w:r>
        <w:rPr>
          <w:color w:val="595959" w:themeColor="text1" w:themeTint="A6"/>
          <w:sz w:val="18"/>
          <w:szCs w:val="18"/>
        </w:rPr>
        <w:br w:type="page"/>
      </w:r>
    </w:p>
    <w:p w14:paraId="0749F2A7" w14:textId="4751DC03" w:rsidR="008F0E3F" w:rsidRDefault="00C948DD" w:rsidP="00C948DD">
      <w:pPr>
        <w:pStyle w:val="Titre1"/>
      </w:pPr>
      <w:r>
        <w:lastRenderedPageBreak/>
        <w:t xml:space="preserve">L’Europe numérique stagne dans un marché mondial </w:t>
      </w:r>
      <w:r w:rsidR="00AF1FFE">
        <w:br/>
      </w:r>
      <w:r>
        <w:t>en pleine croissance</w:t>
      </w:r>
    </w:p>
    <w:p w14:paraId="46333F0B" w14:textId="162B93BF" w:rsidR="00C948DD" w:rsidRDefault="009C6BBA" w:rsidP="00AF1FFE">
      <w:pPr>
        <w:pStyle w:val="Titre2"/>
        <w:spacing w:before="360"/>
      </w:pPr>
      <w:r w:rsidRPr="009C6BBA">
        <w:t>L’Europe distancée par les champions américains et asiatiques</w:t>
      </w:r>
    </w:p>
    <w:p w14:paraId="20CFCE3F" w14:textId="5EF1DD7E" w:rsidR="009C6BBA" w:rsidRDefault="009C6BBA" w:rsidP="009C6BBA">
      <w:r>
        <w:t>Revenus de l’écosystème numérique</w:t>
      </w:r>
      <w:r w:rsidRPr="009C6BBA">
        <w:rPr>
          <w:vertAlign w:val="superscript"/>
        </w:rPr>
        <w:t>1</w:t>
      </w:r>
      <w:r>
        <w:t xml:space="preserve"> Monde, 2010-2019, milliards d’euros constants</w:t>
      </w:r>
      <w:r w:rsidRPr="009C6BBA">
        <w:rPr>
          <w:vertAlign w:val="superscript"/>
        </w:rPr>
        <w:t>2</w:t>
      </w:r>
    </w:p>
    <w:tbl>
      <w:tblPr>
        <w:tblStyle w:val="Grilledutableau"/>
        <w:tblW w:w="0" w:type="auto"/>
        <w:jc w:val="center"/>
        <w:tblLook w:val="04A0" w:firstRow="1" w:lastRow="0" w:firstColumn="1" w:lastColumn="0" w:noHBand="0" w:noVBand="1"/>
      </w:tblPr>
      <w:tblGrid>
        <w:gridCol w:w="1682"/>
        <w:gridCol w:w="1605"/>
        <w:gridCol w:w="1748"/>
        <w:gridCol w:w="1351"/>
        <w:gridCol w:w="1433"/>
        <w:gridCol w:w="1243"/>
      </w:tblGrid>
      <w:tr w:rsidR="00687DC4" w14:paraId="7535FD14" w14:textId="4085B343" w:rsidTr="00AF1FFE">
        <w:trPr>
          <w:trHeight w:val="567"/>
          <w:jc w:val="center"/>
        </w:trPr>
        <w:tc>
          <w:tcPr>
            <w:tcW w:w="1682" w:type="dxa"/>
            <w:shd w:val="clear" w:color="auto" w:fill="EBF0F5"/>
            <w:vAlign w:val="center"/>
          </w:tcPr>
          <w:p w14:paraId="5EAA0E89" w14:textId="08B01909" w:rsidR="00687DC4" w:rsidRPr="003F2E71" w:rsidRDefault="00687DC4" w:rsidP="00AF1FFE">
            <w:pPr>
              <w:jc w:val="center"/>
              <w:rPr>
                <w:b/>
                <w:bCs/>
              </w:rPr>
            </w:pPr>
            <w:r>
              <w:rPr>
                <w:b/>
                <w:bCs/>
              </w:rPr>
              <w:t>Année</w:t>
            </w:r>
          </w:p>
        </w:tc>
        <w:tc>
          <w:tcPr>
            <w:tcW w:w="1605" w:type="dxa"/>
            <w:shd w:val="clear" w:color="auto" w:fill="EBF0F5"/>
            <w:vAlign w:val="center"/>
          </w:tcPr>
          <w:p w14:paraId="3CFC8373" w14:textId="0408EA71" w:rsidR="00687DC4" w:rsidRPr="003F2E71" w:rsidRDefault="00687DC4" w:rsidP="00AF1FFE">
            <w:pPr>
              <w:jc w:val="center"/>
              <w:rPr>
                <w:b/>
                <w:bCs/>
              </w:rPr>
            </w:pPr>
            <w:r>
              <w:rPr>
                <w:b/>
                <w:bCs/>
              </w:rPr>
              <w:t>Europe</w:t>
            </w:r>
          </w:p>
        </w:tc>
        <w:tc>
          <w:tcPr>
            <w:tcW w:w="1748" w:type="dxa"/>
            <w:shd w:val="clear" w:color="auto" w:fill="EBF0F5"/>
            <w:vAlign w:val="center"/>
          </w:tcPr>
          <w:p w14:paraId="3E4B98E9" w14:textId="27337503" w:rsidR="00687DC4" w:rsidRDefault="00687DC4" w:rsidP="00AF1FFE">
            <w:pPr>
              <w:jc w:val="center"/>
              <w:rPr>
                <w:b/>
                <w:bCs/>
              </w:rPr>
            </w:pPr>
            <w:r>
              <w:rPr>
                <w:b/>
                <w:bCs/>
              </w:rPr>
              <w:t xml:space="preserve">Amérique </w:t>
            </w:r>
            <w:r w:rsidR="0096248A">
              <w:rPr>
                <w:b/>
                <w:bCs/>
              </w:rPr>
              <w:br/>
            </w:r>
            <w:r>
              <w:rPr>
                <w:b/>
                <w:bCs/>
              </w:rPr>
              <w:t>du Nord</w:t>
            </w:r>
          </w:p>
        </w:tc>
        <w:tc>
          <w:tcPr>
            <w:tcW w:w="1351" w:type="dxa"/>
            <w:shd w:val="clear" w:color="auto" w:fill="EBF0F5"/>
            <w:vAlign w:val="center"/>
          </w:tcPr>
          <w:p w14:paraId="56EE92A8" w14:textId="05DAEB56" w:rsidR="00687DC4" w:rsidRDefault="00687DC4" w:rsidP="00AF1FFE">
            <w:pPr>
              <w:jc w:val="center"/>
              <w:rPr>
                <w:b/>
                <w:bCs/>
              </w:rPr>
            </w:pPr>
            <w:r>
              <w:rPr>
                <w:b/>
                <w:bCs/>
              </w:rPr>
              <w:t>Asie</w:t>
            </w:r>
          </w:p>
        </w:tc>
        <w:tc>
          <w:tcPr>
            <w:tcW w:w="1433" w:type="dxa"/>
            <w:shd w:val="clear" w:color="auto" w:fill="EBF0F5"/>
            <w:vAlign w:val="center"/>
          </w:tcPr>
          <w:p w14:paraId="10142E6C" w14:textId="74FFD63E" w:rsidR="00687DC4" w:rsidRDefault="00687DC4" w:rsidP="00AF1FFE">
            <w:pPr>
              <w:jc w:val="center"/>
              <w:rPr>
                <w:b/>
                <w:bCs/>
              </w:rPr>
            </w:pPr>
            <w:r>
              <w:rPr>
                <w:b/>
                <w:bCs/>
              </w:rPr>
              <w:t>Autres</w:t>
            </w:r>
            <w:r w:rsidRPr="00865DA3">
              <w:rPr>
                <w:b/>
                <w:bCs/>
                <w:vertAlign w:val="superscript"/>
              </w:rPr>
              <w:t>3</w:t>
            </w:r>
          </w:p>
        </w:tc>
        <w:tc>
          <w:tcPr>
            <w:tcW w:w="1243" w:type="dxa"/>
            <w:shd w:val="clear" w:color="auto" w:fill="EBF0F5"/>
            <w:vAlign w:val="center"/>
          </w:tcPr>
          <w:p w14:paraId="643ADC7E" w14:textId="09DABA8D" w:rsidR="00687DC4" w:rsidRDefault="00687DC4" w:rsidP="00AF1FFE">
            <w:pPr>
              <w:jc w:val="center"/>
              <w:rPr>
                <w:b/>
                <w:bCs/>
              </w:rPr>
            </w:pPr>
            <w:r>
              <w:rPr>
                <w:b/>
                <w:bCs/>
              </w:rPr>
              <w:t>T</w:t>
            </w:r>
            <w:r w:rsidR="0096248A">
              <w:rPr>
                <w:b/>
                <w:bCs/>
              </w:rPr>
              <w:t>otal</w:t>
            </w:r>
          </w:p>
        </w:tc>
      </w:tr>
      <w:tr w:rsidR="00687DC4" w14:paraId="0910E2D2" w14:textId="4B8C5BC2" w:rsidTr="00AF1FFE">
        <w:trPr>
          <w:trHeight w:val="567"/>
          <w:jc w:val="center"/>
        </w:trPr>
        <w:tc>
          <w:tcPr>
            <w:tcW w:w="1682" w:type="dxa"/>
            <w:vAlign w:val="center"/>
          </w:tcPr>
          <w:p w14:paraId="333AF1AF" w14:textId="2F349BFE" w:rsidR="00687DC4" w:rsidRDefault="00687DC4" w:rsidP="00AF1FFE">
            <w:pPr>
              <w:jc w:val="center"/>
            </w:pPr>
            <w:r>
              <w:t>2010</w:t>
            </w:r>
          </w:p>
        </w:tc>
        <w:tc>
          <w:tcPr>
            <w:tcW w:w="1605" w:type="dxa"/>
            <w:vAlign w:val="center"/>
          </w:tcPr>
          <w:p w14:paraId="7756A581" w14:textId="7758388F" w:rsidR="00687DC4" w:rsidRDefault="00687DC4" w:rsidP="00AF1FFE">
            <w:pPr>
              <w:jc w:val="center"/>
            </w:pPr>
            <w:r>
              <w:t>467</w:t>
            </w:r>
          </w:p>
        </w:tc>
        <w:tc>
          <w:tcPr>
            <w:tcW w:w="1748" w:type="dxa"/>
            <w:vAlign w:val="center"/>
          </w:tcPr>
          <w:p w14:paraId="52184B62" w14:textId="0F0EBCD3" w:rsidR="00687DC4" w:rsidRDefault="00687DC4" w:rsidP="00AF1FFE">
            <w:pPr>
              <w:jc w:val="center"/>
            </w:pPr>
            <w:r>
              <w:t>1 039</w:t>
            </w:r>
          </w:p>
        </w:tc>
        <w:tc>
          <w:tcPr>
            <w:tcW w:w="1351" w:type="dxa"/>
            <w:vAlign w:val="center"/>
          </w:tcPr>
          <w:p w14:paraId="750B78A8" w14:textId="30F3A1EF" w:rsidR="00687DC4" w:rsidRDefault="00687DC4" w:rsidP="00AF1FFE">
            <w:pPr>
              <w:jc w:val="center"/>
            </w:pPr>
            <w:r>
              <w:t>1 090</w:t>
            </w:r>
          </w:p>
        </w:tc>
        <w:tc>
          <w:tcPr>
            <w:tcW w:w="1433" w:type="dxa"/>
            <w:vAlign w:val="center"/>
          </w:tcPr>
          <w:p w14:paraId="534ACF60" w14:textId="3BBD0B88" w:rsidR="00687DC4" w:rsidRDefault="00687DC4" w:rsidP="00AF1FFE">
            <w:pPr>
              <w:jc w:val="center"/>
            </w:pPr>
            <w:r>
              <w:t>67</w:t>
            </w:r>
          </w:p>
        </w:tc>
        <w:tc>
          <w:tcPr>
            <w:tcW w:w="1243" w:type="dxa"/>
            <w:vAlign w:val="center"/>
          </w:tcPr>
          <w:p w14:paraId="62A8ECED" w14:textId="2C5647B9" w:rsidR="00687DC4" w:rsidRDefault="0096248A" w:rsidP="00AF1FFE">
            <w:pPr>
              <w:jc w:val="center"/>
            </w:pPr>
            <w:r>
              <w:t>2 663</w:t>
            </w:r>
          </w:p>
        </w:tc>
      </w:tr>
      <w:tr w:rsidR="00687DC4" w14:paraId="43758BD7" w14:textId="3E584540" w:rsidTr="00AF1FFE">
        <w:trPr>
          <w:trHeight w:val="567"/>
          <w:jc w:val="center"/>
        </w:trPr>
        <w:tc>
          <w:tcPr>
            <w:tcW w:w="1682" w:type="dxa"/>
            <w:vAlign w:val="center"/>
          </w:tcPr>
          <w:p w14:paraId="67DA3B33" w14:textId="0C1471BE" w:rsidR="00687DC4" w:rsidRDefault="00687DC4" w:rsidP="00AF1FFE">
            <w:pPr>
              <w:jc w:val="center"/>
            </w:pPr>
            <w:r>
              <w:t>2011</w:t>
            </w:r>
          </w:p>
        </w:tc>
        <w:tc>
          <w:tcPr>
            <w:tcW w:w="1605" w:type="dxa"/>
            <w:vAlign w:val="center"/>
          </w:tcPr>
          <w:p w14:paraId="3A1DF41C" w14:textId="5888C754" w:rsidR="00687DC4" w:rsidRDefault="00D92FA2" w:rsidP="00AF1FFE">
            <w:pPr>
              <w:jc w:val="center"/>
            </w:pPr>
            <w:r>
              <w:t>478</w:t>
            </w:r>
          </w:p>
        </w:tc>
        <w:tc>
          <w:tcPr>
            <w:tcW w:w="1748" w:type="dxa"/>
            <w:vAlign w:val="center"/>
          </w:tcPr>
          <w:p w14:paraId="2A2AB52F" w14:textId="01B79CC3" w:rsidR="00687DC4" w:rsidRDefault="00D92FA2" w:rsidP="00AF1FFE">
            <w:pPr>
              <w:jc w:val="center"/>
            </w:pPr>
            <w:r>
              <w:t>1 211</w:t>
            </w:r>
          </w:p>
        </w:tc>
        <w:tc>
          <w:tcPr>
            <w:tcW w:w="1351" w:type="dxa"/>
            <w:vAlign w:val="center"/>
          </w:tcPr>
          <w:p w14:paraId="332055DB" w14:textId="4B6650FA" w:rsidR="00687DC4" w:rsidRDefault="00D92FA2" w:rsidP="00AF1FFE">
            <w:pPr>
              <w:jc w:val="center"/>
            </w:pPr>
            <w:r>
              <w:t>1 150</w:t>
            </w:r>
          </w:p>
        </w:tc>
        <w:tc>
          <w:tcPr>
            <w:tcW w:w="1433" w:type="dxa"/>
            <w:vAlign w:val="center"/>
          </w:tcPr>
          <w:p w14:paraId="2D780912" w14:textId="5FCC0F69" w:rsidR="00687DC4" w:rsidRDefault="00D92FA2" w:rsidP="00AF1FFE">
            <w:pPr>
              <w:jc w:val="center"/>
            </w:pPr>
            <w:r>
              <w:t>73</w:t>
            </w:r>
          </w:p>
        </w:tc>
        <w:tc>
          <w:tcPr>
            <w:tcW w:w="1243" w:type="dxa"/>
            <w:vAlign w:val="center"/>
          </w:tcPr>
          <w:p w14:paraId="5B658BFA" w14:textId="64E35B73" w:rsidR="00687DC4" w:rsidRDefault="0096248A" w:rsidP="00AF1FFE">
            <w:pPr>
              <w:jc w:val="center"/>
            </w:pPr>
            <w:r>
              <w:t>2 912</w:t>
            </w:r>
          </w:p>
        </w:tc>
      </w:tr>
      <w:tr w:rsidR="00687DC4" w14:paraId="28BD2454" w14:textId="6D1918D0" w:rsidTr="00AF1FFE">
        <w:trPr>
          <w:trHeight w:val="567"/>
          <w:jc w:val="center"/>
        </w:trPr>
        <w:tc>
          <w:tcPr>
            <w:tcW w:w="1682" w:type="dxa"/>
            <w:vAlign w:val="center"/>
          </w:tcPr>
          <w:p w14:paraId="0F8280B0" w14:textId="452775EE" w:rsidR="00687DC4" w:rsidRDefault="00687DC4" w:rsidP="00AF1FFE">
            <w:pPr>
              <w:jc w:val="center"/>
            </w:pPr>
            <w:r>
              <w:t>2012</w:t>
            </w:r>
          </w:p>
        </w:tc>
        <w:tc>
          <w:tcPr>
            <w:tcW w:w="1605" w:type="dxa"/>
            <w:vAlign w:val="center"/>
          </w:tcPr>
          <w:p w14:paraId="1C8FA1A7" w14:textId="12B0EA27" w:rsidR="00687DC4" w:rsidRDefault="00D92FA2" w:rsidP="00AF1FFE">
            <w:pPr>
              <w:jc w:val="center"/>
            </w:pPr>
            <w:r>
              <w:t>440</w:t>
            </w:r>
          </w:p>
        </w:tc>
        <w:tc>
          <w:tcPr>
            <w:tcW w:w="1748" w:type="dxa"/>
            <w:vAlign w:val="center"/>
          </w:tcPr>
          <w:p w14:paraId="4D39429B" w14:textId="6A771E74" w:rsidR="00687DC4" w:rsidRDefault="00841D97" w:rsidP="00AF1FFE">
            <w:pPr>
              <w:jc w:val="center"/>
            </w:pPr>
            <w:r>
              <w:t>1 347</w:t>
            </w:r>
          </w:p>
        </w:tc>
        <w:tc>
          <w:tcPr>
            <w:tcW w:w="1351" w:type="dxa"/>
            <w:vAlign w:val="center"/>
          </w:tcPr>
          <w:p w14:paraId="584B9F58" w14:textId="36270241" w:rsidR="00687DC4" w:rsidRDefault="004F3FFB" w:rsidP="00AF1FFE">
            <w:pPr>
              <w:jc w:val="center"/>
            </w:pPr>
            <w:r>
              <w:t>1 258</w:t>
            </w:r>
          </w:p>
        </w:tc>
        <w:tc>
          <w:tcPr>
            <w:tcW w:w="1433" w:type="dxa"/>
            <w:vAlign w:val="center"/>
          </w:tcPr>
          <w:p w14:paraId="1BD027F4" w14:textId="3F588C01" w:rsidR="00687DC4" w:rsidRDefault="007D05B7" w:rsidP="00AF1FFE">
            <w:pPr>
              <w:jc w:val="center"/>
            </w:pPr>
            <w:r>
              <w:t>76</w:t>
            </w:r>
          </w:p>
        </w:tc>
        <w:tc>
          <w:tcPr>
            <w:tcW w:w="1243" w:type="dxa"/>
            <w:vAlign w:val="center"/>
          </w:tcPr>
          <w:p w14:paraId="76D9D12E" w14:textId="2B9B836E" w:rsidR="00687DC4" w:rsidRDefault="0096248A" w:rsidP="00AF1FFE">
            <w:pPr>
              <w:jc w:val="center"/>
            </w:pPr>
            <w:r>
              <w:t>3 121</w:t>
            </w:r>
          </w:p>
        </w:tc>
      </w:tr>
      <w:tr w:rsidR="00687DC4" w14:paraId="051A0AD2" w14:textId="094765E8" w:rsidTr="00AF1FFE">
        <w:trPr>
          <w:trHeight w:val="567"/>
          <w:jc w:val="center"/>
        </w:trPr>
        <w:tc>
          <w:tcPr>
            <w:tcW w:w="1682" w:type="dxa"/>
            <w:vAlign w:val="center"/>
          </w:tcPr>
          <w:p w14:paraId="7B277331" w14:textId="61645D32" w:rsidR="00687DC4" w:rsidRDefault="00687DC4" w:rsidP="00AF1FFE">
            <w:pPr>
              <w:jc w:val="center"/>
            </w:pPr>
            <w:r>
              <w:t>2013</w:t>
            </w:r>
          </w:p>
        </w:tc>
        <w:tc>
          <w:tcPr>
            <w:tcW w:w="1605" w:type="dxa"/>
            <w:vAlign w:val="center"/>
          </w:tcPr>
          <w:p w14:paraId="337B2659" w14:textId="1B67386C" w:rsidR="00687DC4" w:rsidRDefault="00D92FA2" w:rsidP="00AF1FFE">
            <w:pPr>
              <w:jc w:val="center"/>
            </w:pPr>
            <w:r>
              <w:t>419</w:t>
            </w:r>
          </w:p>
        </w:tc>
        <w:tc>
          <w:tcPr>
            <w:tcW w:w="1748" w:type="dxa"/>
            <w:vAlign w:val="center"/>
          </w:tcPr>
          <w:p w14:paraId="167AEE70" w14:textId="56AC1647" w:rsidR="00687DC4" w:rsidRDefault="00841D97" w:rsidP="00AF1FFE">
            <w:pPr>
              <w:jc w:val="center"/>
            </w:pPr>
            <w:r>
              <w:t>1 404</w:t>
            </w:r>
          </w:p>
        </w:tc>
        <w:tc>
          <w:tcPr>
            <w:tcW w:w="1351" w:type="dxa"/>
            <w:vAlign w:val="center"/>
          </w:tcPr>
          <w:p w14:paraId="7ACE0572" w14:textId="59056E30" w:rsidR="00687DC4" w:rsidRDefault="004F3FFB" w:rsidP="00AF1FFE">
            <w:pPr>
              <w:jc w:val="center"/>
            </w:pPr>
            <w:r>
              <w:t>1 335</w:t>
            </w:r>
          </w:p>
        </w:tc>
        <w:tc>
          <w:tcPr>
            <w:tcW w:w="1433" w:type="dxa"/>
            <w:vAlign w:val="center"/>
          </w:tcPr>
          <w:p w14:paraId="7953EAA6" w14:textId="69C14A50" w:rsidR="00687DC4" w:rsidRDefault="007D05B7" w:rsidP="00AF1FFE">
            <w:pPr>
              <w:jc w:val="center"/>
            </w:pPr>
            <w:r>
              <w:t>78</w:t>
            </w:r>
          </w:p>
        </w:tc>
        <w:tc>
          <w:tcPr>
            <w:tcW w:w="1243" w:type="dxa"/>
            <w:vAlign w:val="center"/>
          </w:tcPr>
          <w:p w14:paraId="131D3473" w14:textId="7AC37D70" w:rsidR="00687DC4" w:rsidRDefault="0096248A" w:rsidP="00AF1FFE">
            <w:pPr>
              <w:jc w:val="center"/>
            </w:pPr>
            <w:r>
              <w:t>3 236</w:t>
            </w:r>
          </w:p>
        </w:tc>
      </w:tr>
      <w:tr w:rsidR="00687DC4" w14:paraId="168A1001" w14:textId="2FFD7706" w:rsidTr="00AF1FFE">
        <w:trPr>
          <w:trHeight w:val="567"/>
          <w:jc w:val="center"/>
        </w:trPr>
        <w:tc>
          <w:tcPr>
            <w:tcW w:w="1682" w:type="dxa"/>
            <w:vAlign w:val="center"/>
          </w:tcPr>
          <w:p w14:paraId="062D8AF2" w14:textId="7AF984CC" w:rsidR="00687DC4" w:rsidRDefault="00687DC4" w:rsidP="00AF1FFE">
            <w:pPr>
              <w:jc w:val="center"/>
            </w:pPr>
            <w:r>
              <w:t>2014</w:t>
            </w:r>
          </w:p>
        </w:tc>
        <w:tc>
          <w:tcPr>
            <w:tcW w:w="1605" w:type="dxa"/>
            <w:vAlign w:val="center"/>
          </w:tcPr>
          <w:p w14:paraId="1C380F94" w14:textId="72DC8AA9" w:rsidR="00687DC4" w:rsidRDefault="00D92FA2" w:rsidP="00AF1FFE">
            <w:pPr>
              <w:jc w:val="center"/>
            </w:pPr>
            <w:r>
              <w:t>412</w:t>
            </w:r>
          </w:p>
        </w:tc>
        <w:tc>
          <w:tcPr>
            <w:tcW w:w="1748" w:type="dxa"/>
            <w:vAlign w:val="center"/>
          </w:tcPr>
          <w:p w14:paraId="2DBA53F1" w14:textId="6D94C134" w:rsidR="00687DC4" w:rsidRDefault="00841D97" w:rsidP="00AF1FFE">
            <w:pPr>
              <w:jc w:val="center"/>
            </w:pPr>
            <w:r>
              <w:t>1 443</w:t>
            </w:r>
          </w:p>
        </w:tc>
        <w:tc>
          <w:tcPr>
            <w:tcW w:w="1351" w:type="dxa"/>
            <w:vAlign w:val="center"/>
          </w:tcPr>
          <w:p w14:paraId="603320B6" w14:textId="61778D36" w:rsidR="00687DC4" w:rsidRDefault="004F3FFB" w:rsidP="00AF1FFE">
            <w:pPr>
              <w:jc w:val="center"/>
            </w:pPr>
            <w:r>
              <w:t>1 435</w:t>
            </w:r>
          </w:p>
        </w:tc>
        <w:tc>
          <w:tcPr>
            <w:tcW w:w="1433" w:type="dxa"/>
            <w:vAlign w:val="center"/>
          </w:tcPr>
          <w:p w14:paraId="247ACFFE" w14:textId="1B4363B2" w:rsidR="00687DC4" w:rsidRDefault="007D05B7" w:rsidP="00AF1FFE">
            <w:pPr>
              <w:jc w:val="center"/>
            </w:pPr>
            <w:r>
              <w:t>84</w:t>
            </w:r>
          </w:p>
        </w:tc>
        <w:tc>
          <w:tcPr>
            <w:tcW w:w="1243" w:type="dxa"/>
            <w:vAlign w:val="center"/>
          </w:tcPr>
          <w:p w14:paraId="29CBE0A5" w14:textId="2B233E1C" w:rsidR="00687DC4" w:rsidRDefault="0096248A" w:rsidP="00AF1FFE">
            <w:pPr>
              <w:jc w:val="center"/>
            </w:pPr>
            <w:r>
              <w:t>3 374</w:t>
            </w:r>
          </w:p>
        </w:tc>
      </w:tr>
      <w:tr w:rsidR="00687DC4" w14:paraId="3685CB44" w14:textId="1B75C354" w:rsidTr="00AF1FFE">
        <w:trPr>
          <w:trHeight w:val="567"/>
          <w:jc w:val="center"/>
        </w:trPr>
        <w:tc>
          <w:tcPr>
            <w:tcW w:w="1682" w:type="dxa"/>
            <w:vAlign w:val="center"/>
          </w:tcPr>
          <w:p w14:paraId="73AAC206" w14:textId="6F3D6D73" w:rsidR="00687DC4" w:rsidRDefault="00687DC4" w:rsidP="00AF1FFE">
            <w:pPr>
              <w:jc w:val="center"/>
            </w:pPr>
            <w:r>
              <w:t>2015</w:t>
            </w:r>
          </w:p>
        </w:tc>
        <w:tc>
          <w:tcPr>
            <w:tcW w:w="1605" w:type="dxa"/>
            <w:vAlign w:val="center"/>
          </w:tcPr>
          <w:p w14:paraId="78E24BEC" w14:textId="74123C51" w:rsidR="00687DC4" w:rsidRDefault="00D92FA2" w:rsidP="00AF1FFE">
            <w:pPr>
              <w:jc w:val="center"/>
            </w:pPr>
            <w:r>
              <w:t>458</w:t>
            </w:r>
          </w:p>
        </w:tc>
        <w:tc>
          <w:tcPr>
            <w:tcW w:w="1748" w:type="dxa"/>
            <w:vAlign w:val="center"/>
          </w:tcPr>
          <w:p w14:paraId="1C87A4BB" w14:textId="02A6D6E4" w:rsidR="00687DC4" w:rsidRDefault="00841D97" w:rsidP="00AF1FFE">
            <w:pPr>
              <w:jc w:val="center"/>
            </w:pPr>
            <w:r>
              <w:t>1 526</w:t>
            </w:r>
          </w:p>
        </w:tc>
        <w:tc>
          <w:tcPr>
            <w:tcW w:w="1351" w:type="dxa"/>
            <w:vAlign w:val="center"/>
          </w:tcPr>
          <w:p w14:paraId="1AC7677D" w14:textId="5C6E8A16" w:rsidR="00687DC4" w:rsidRDefault="004F3FFB" w:rsidP="00AF1FFE">
            <w:pPr>
              <w:jc w:val="center"/>
            </w:pPr>
            <w:r>
              <w:t>1 551</w:t>
            </w:r>
          </w:p>
        </w:tc>
        <w:tc>
          <w:tcPr>
            <w:tcW w:w="1433" w:type="dxa"/>
            <w:vAlign w:val="center"/>
          </w:tcPr>
          <w:p w14:paraId="6ED9D9CF" w14:textId="5906CA90" w:rsidR="00687DC4" w:rsidRDefault="007D05B7" w:rsidP="00AF1FFE">
            <w:pPr>
              <w:jc w:val="center"/>
            </w:pPr>
            <w:r>
              <w:t>88</w:t>
            </w:r>
          </w:p>
        </w:tc>
        <w:tc>
          <w:tcPr>
            <w:tcW w:w="1243" w:type="dxa"/>
            <w:vAlign w:val="center"/>
          </w:tcPr>
          <w:p w14:paraId="0FD31EE6" w14:textId="4BC8C546" w:rsidR="00687DC4" w:rsidRDefault="0096248A" w:rsidP="00AF1FFE">
            <w:pPr>
              <w:jc w:val="center"/>
            </w:pPr>
            <w:r>
              <w:t>3 622</w:t>
            </w:r>
          </w:p>
        </w:tc>
      </w:tr>
      <w:tr w:rsidR="00687DC4" w14:paraId="5326259C" w14:textId="08E3F5E5" w:rsidTr="00AF1FFE">
        <w:trPr>
          <w:trHeight w:val="567"/>
          <w:jc w:val="center"/>
        </w:trPr>
        <w:tc>
          <w:tcPr>
            <w:tcW w:w="1682" w:type="dxa"/>
            <w:vAlign w:val="center"/>
          </w:tcPr>
          <w:p w14:paraId="51FA0CB0" w14:textId="75195E0A" w:rsidR="00687DC4" w:rsidRDefault="00687DC4" w:rsidP="00AF1FFE">
            <w:pPr>
              <w:jc w:val="center"/>
            </w:pPr>
            <w:r>
              <w:t>2016</w:t>
            </w:r>
          </w:p>
        </w:tc>
        <w:tc>
          <w:tcPr>
            <w:tcW w:w="1605" w:type="dxa"/>
            <w:vAlign w:val="center"/>
          </w:tcPr>
          <w:p w14:paraId="00C58B11" w14:textId="10DFA4D1" w:rsidR="00687DC4" w:rsidRDefault="00D92FA2" w:rsidP="00AF1FFE">
            <w:pPr>
              <w:jc w:val="center"/>
            </w:pPr>
            <w:r>
              <w:t>485</w:t>
            </w:r>
          </w:p>
        </w:tc>
        <w:tc>
          <w:tcPr>
            <w:tcW w:w="1748" w:type="dxa"/>
            <w:vAlign w:val="center"/>
          </w:tcPr>
          <w:p w14:paraId="3574B776" w14:textId="2788C2F4" w:rsidR="00687DC4" w:rsidRDefault="00841D97" w:rsidP="00AF1FFE">
            <w:pPr>
              <w:jc w:val="center"/>
            </w:pPr>
            <w:r>
              <w:t>1 629</w:t>
            </w:r>
          </w:p>
        </w:tc>
        <w:tc>
          <w:tcPr>
            <w:tcW w:w="1351" w:type="dxa"/>
            <w:vAlign w:val="center"/>
          </w:tcPr>
          <w:p w14:paraId="59AEEAC1" w14:textId="4679F464" w:rsidR="00687DC4" w:rsidRDefault="004F3FFB" w:rsidP="00AF1FFE">
            <w:pPr>
              <w:jc w:val="center"/>
            </w:pPr>
            <w:r>
              <w:t>1 619</w:t>
            </w:r>
          </w:p>
        </w:tc>
        <w:tc>
          <w:tcPr>
            <w:tcW w:w="1433" w:type="dxa"/>
            <w:vAlign w:val="center"/>
          </w:tcPr>
          <w:p w14:paraId="2670DEF5" w14:textId="34E613BF" w:rsidR="00687DC4" w:rsidRDefault="007D05B7" w:rsidP="00AF1FFE">
            <w:pPr>
              <w:jc w:val="center"/>
            </w:pPr>
            <w:r>
              <w:t>93</w:t>
            </w:r>
          </w:p>
        </w:tc>
        <w:tc>
          <w:tcPr>
            <w:tcW w:w="1243" w:type="dxa"/>
            <w:vAlign w:val="center"/>
          </w:tcPr>
          <w:p w14:paraId="2C5D08AA" w14:textId="6A6E8E63" w:rsidR="00687DC4" w:rsidRDefault="0096248A" w:rsidP="00AF1FFE">
            <w:pPr>
              <w:jc w:val="center"/>
            </w:pPr>
            <w:r>
              <w:t>3 8</w:t>
            </w:r>
            <w:r w:rsidR="0052710A">
              <w:t>26</w:t>
            </w:r>
          </w:p>
        </w:tc>
      </w:tr>
      <w:tr w:rsidR="00687DC4" w14:paraId="0770104C" w14:textId="1449780E" w:rsidTr="00AF1FFE">
        <w:trPr>
          <w:trHeight w:val="567"/>
          <w:jc w:val="center"/>
        </w:trPr>
        <w:tc>
          <w:tcPr>
            <w:tcW w:w="1682" w:type="dxa"/>
            <w:vAlign w:val="center"/>
          </w:tcPr>
          <w:p w14:paraId="4F2D5E4F" w14:textId="7775CF36" w:rsidR="00687DC4" w:rsidRDefault="00687DC4" w:rsidP="00AF1FFE">
            <w:pPr>
              <w:jc w:val="center"/>
            </w:pPr>
            <w:r>
              <w:t>2017</w:t>
            </w:r>
          </w:p>
        </w:tc>
        <w:tc>
          <w:tcPr>
            <w:tcW w:w="1605" w:type="dxa"/>
            <w:vAlign w:val="center"/>
          </w:tcPr>
          <w:p w14:paraId="1A87E24E" w14:textId="31360899" w:rsidR="00687DC4" w:rsidRDefault="00D92FA2" w:rsidP="00AF1FFE">
            <w:pPr>
              <w:jc w:val="center"/>
            </w:pPr>
            <w:r>
              <w:t>489</w:t>
            </w:r>
          </w:p>
        </w:tc>
        <w:tc>
          <w:tcPr>
            <w:tcW w:w="1748" w:type="dxa"/>
            <w:vAlign w:val="center"/>
          </w:tcPr>
          <w:p w14:paraId="6A018980" w14:textId="5CB942D4" w:rsidR="00687DC4" w:rsidRDefault="00841D97" w:rsidP="00AF1FFE">
            <w:pPr>
              <w:jc w:val="center"/>
            </w:pPr>
            <w:r>
              <w:t>1 789</w:t>
            </w:r>
          </w:p>
        </w:tc>
        <w:tc>
          <w:tcPr>
            <w:tcW w:w="1351" w:type="dxa"/>
            <w:vAlign w:val="center"/>
          </w:tcPr>
          <w:p w14:paraId="5804D20F" w14:textId="3A27A161" w:rsidR="00687DC4" w:rsidRDefault="004F3FFB" w:rsidP="00AF1FFE">
            <w:pPr>
              <w:jc w:val="center"/>
            </w:pPr>
            <w:r>
              <w:t>1 763</w:t>
            </w:r>
          </w:p>
        </w:tc>
        <w:tc>
          <w:tcPr>
            <w:tcW w:w="1433" w:type="dxa"/>
            <w:vAlign w:val="center"/>
          </w:tcPr>
          <w:p w14:paraId="4BFB6C21" w14:textId="3066FE29" w:rsidR="00687DC4" w:rsidRDefault="007D05B7" w:rsidP="00AF1FFE">
            <w:pPr>
              <w:jc w:val="center"/>
            </w:pPr>
            <w:r>
              <w:t>94</w:t>
            </w:r>
          </w:p>
        </w:tc>
        <w:tc>
          <w:tcPr>
            <w:tcW w:w="1243" w:type="dxa"/>
            <w:vAlign w:val="center"/>
          </w:tcPr>
          <w:p w14:paraId="618F6310" w14:textId="0A93B84C" w:rsidR="00687DC4" w:rsidRDefault="0052710A" w:rsidP="00AF1FFE">
            <w:pPr>
              <w:jc w:val="center"/>
            </w:pPr>
            <w:r>
              <w:t>4 135</w:t>
            </w:r>
          </w:p>
        </w:tc>
      </w:tr>
      <w:tr w:rsidR="00687DC4" w14:paraId="7BD99700" w14:textId="25446E5C" w:rsidTr="00AF1FFE">
        <w:trPr>
          <w:trHeight w:val="567"/>
          <w:jc w:val="center"/>
        </w:trPr>
        <w:tc>
          <w:tcPr>
            <w:tcW w:w="1682" w:type="dxa"/>
            <w:vAlign w:val="center"/>
          </w:tcPr>
          <w:p w14:paraId="609B87E6" w14:textId="3AC5C7D4" w:rsidR="00687DC4" w:rsidRDefault="00687DC4" w:rsidP="00AF1FFE">
            <w:pPr>
              <w:jc w:val="center"/>
            </w:pPr>
            <w:r>
              <w:t>2018</w:t>
            </w:r>
          </w:p>
        </w:tc>
        <w:tc>
          <w:tcPr>
            <w:tcW w:w="1605" w:type="dxa"/>
            <w:vAlign w:val="center"/>
          </w:tcPr>
          <w:p w14:paraId="49B97BDD" w14:textId="29F10145" w:rsidR="00687DC4" w:rsidRDefault="00D92FA2" w:rsidP="00AF1FFE">
            <w:pPr>
              <w:jc w:val="center"/>
            </w:pPr>
            <w:r>
              <w:t>494</w:t>
            </w:r>
          </w:p>
        </w:tc>
        <w:tc>
          <w:tcPr>
            <w:tcW w:w="1748" w:type="dxa"/>
            <w:vAlign w:val="center"/>
          </w:tcPr>
          <w:p w14:paraId="6BD1AA0B" w14:textId="19C03B0D" w:rsidR="00687DC4" w:rsidRDefault="00841D97" w:rsidP="00AF1FFE">
            <w:pPr>
              <w:jc w:val="center"/>
            </w:pPr>
            <w:r>
              <w:t>2 058</w:t>
            </w:r>
          </w:p>
        </w:tc>
        <w:tc>
          <w:tcPr>
            <w:tcW w:w="1351" w:type="dxa"/>
            <w:vAlign w:val="center"/>
          </w:tcPr>
          <w:p w14:paraId="65756340" w14:textId="78E6F8C6" w:rsidR="00687DC4" w:rsidRDefault="004F3FFB" w:rsidP="00AF1FFE">
            <w:pPr>
              <w:jc w:val="center"/>
            </w:pPr>
            <w:r>
              <w:t>1 920</w:t>
            </w:r>
          </w:p>
        </w:tc>
        <w:tc>
          <w:tcPr>
            <w:tcW w:w="1433" w:type="dxa"/>
            <w:vAlign w:val="center"/>
          </w:tcPr>
          <w:p w14:paraId="636D86CF" w14:textId="4DCDC17D" w:rsidR="00687DC4" w:rsidRDefault="007D05B7" w:rsidP="00AF1FFE">
            <w:pPr>
              <w:jc w:val="center"/>
            </w:pPr>
            <w:r>
              <w:t>93</w:t>
            </w:r>
          </w:p>
        </w:tc>
        <w:tc>
          <w:tcPr>
            <w:tcW w:w="1243" w:type="dxa"/>
            <w:vAlign w:val="center"/>
          </w:tcPr>
          <w:p w14:paraId="4D4A84E1" w14:textId="67428783" w:rsidR="00687DC4" w:rsidRDefault="0052710A" w:rsidP="00AF1FFE">
            <w:pPr>
              <w:jc w:val="center"/>
            </w:pPr>
            <w:r>
              <w:t>4 566</w:t>
            </w:r>
          </w:p>
        </w:tc>
      </w:tr>
      <w:tr w:rsidR="00687DC4" w14:paraId="1A89FC55" w14:textId="15825AC2" w:rsidTr="00AF1FFE">
        <w:trPr>
          <w:trHeight w:val="567"/>
          <w:jc w:val="center"/>
        </w:trPr>
        <w:tc>
          <w:tcPr>
            <w:tcW w:w="1682" w:type="dxa"/>
            <w:vAlign w:val="center"/>
          </w:tcPr>
          <w:p w14:paraId="03B8C58F" w14:textId="4C94789B" w:rsidR="00687DC4" w:rsidRDefault="00687DC4" w:rsidP="00AF1FFE">
            <w:pPr>
              <w:jc w:val="center"/>
            </w:pPr>
            <w:r>
              <w:t>2019</w:t>
            </w:r>
          </w:p>
        </w:tc>
        <w:tc>
          <w:tcPr>
            <w:tcW w:w="1605" w:type="dxa"/>
            <w:vAlign w:val="center"/>
          </w:tcPr>
          <w:p w14:paraId="627F9F77" w14:textId="2B30B34A" w:rsidR="00687DC4" w:rsidRDefault="00D92FA2" w:rsidP="00AF1FFE">
            <w:pPr>
              <w:jc w:val="center"/>
            </w:pPr>
            <w:r>
              <w:t>512</w:t>
            </w:r>
          </w:p>
        </w:tc>
        <w:tc>
          <w:tcPr>
            <w:tcW w:w="1748" w:type="dxa"/>
            <w:vAlign w:val="center"/>
          </w:tcPr>
          <w:p w14:paraId="551591FD" w14:textId="71102346" w:rsidR="00687DC4" w:rsidRDefault="00841D97" w:rsidP="00AF1FFE">
            <w:pPr>
              <w:jc w:val="center"/>
            </w:pPr>
            <w:r>
              <w:t>2 221</w:t>
            </w:r>
          </w:p>
        </w:tc>
        <w:tc>
          <w:tcPr>
            <w:tcW w:w="1351" w:type="dxa"/>
            <w:vAlign w:val="center"/>
          </w:tcPr>
          <w:p w14:paraId="378E771E" w14:textId="3D9BEFAA" w:rsidR="00687DC4" w:rsidRDefault="004F3FFB" w:rsidP="00AF1FFE">
            <w:pPr>
              <w:jc w:val="center"/>
            </w:pPr>
            <w:r>
              <w:t>1 971</w:t>
            </w:r>
          </w:p>
        </w:tc>
        <w:tc>
          <w:tcPr>
            <w:tcW w:w="1433" w:type="dxa"/>
            <w:vAlign w:val="center"/>
          </w:tcPr>
          <w:p w14:paraId="6F7C9C6D" w14:textId="220A9AAF" w:rsidR="00687DC4" w:rsidRDefault="007D05B7" w:rsidP="00AF1FFE">
            <w:pPr>
              <w:jc w:val="center"/>
            </w:pPr>
            <w:r>
              <w:t>92</w:t>
            </w:r>
          </w:p>
        </w:tc>
        <w:tc>
          <w:tcPr>
            <w:tcW w:w="1243" w:type="dxa"/>
            <w:vAlign w:val="center"/>
          </w:tcPr>
          <w:p w14:paraId="44E08F08" w14:textId="0B8FC2AB" w:rsidR="00687DC4" w:rsidRDefault="0052710A" w:rsidP="00AF1FFE">
            <w:pPr>
              <w:jc w:val="center"/>
            </w:pPr>
            <w:r>
              <w:t>4 795</w:t>
            </w:r>
          </w:p>
        </w:tc>
      </w:tr>
      <w:tr w:rsidR="00687DC4" w14:paraId="54560CF7" w14:textId="5232B1E4" w:rsidTr="00AF1FFE">
        <w:trPr>
          <w:trHeight w:val="1134"/>
          <w:jc w:val="center"/>
        </w:trPr>
        <w:tc>
          <w:tcPr>
            <w:tcW w:w="1682" w:type="dxa"/>
            <w:vAlign w:val="center"/>
          </w:tcPr>
          <w:p w14:paraId="3EBDB349" w14:textId="7DC15A24" w:rsidR="00687DC4" w:rsidRDefault="00687DC4" w:rsidP="00AF1FFE">
            <w:pPr>
              <w:jc w:val="center"/>
            </w:pPr>
            <w:r>
              <w:t>Croissance annuelle (moyenne)</w:t>
            </w:r>
            <w:r>
              <w:br/>
              <w:t>2010-2019</w:t>
            </w:r>
          </w:p>
        </w:tc>
        <w:tc>
          <w:tcPr>
            <w:tcW w:w="1605" w:type="dxa"/>
            <w:vAlign w:val="center"/>
          </w:tcPr>
          <w:p w14:paraId="0E93BCAF" w14:textId="247B4AFE" w:rsidR="00687DC4" w:rsidRDefault="00D92FA2" w:rsidP="00AF1FFE">
            <w:pPr>
              <w:jc w:val="center"/>
            </w:pPr>
            <w:r>
              <w:t>+ 1 %</w:t>
            </w:r>
          </w:p>
        </w:tc>
        <w:tc>
          <w:tcPr>
            <w:tcW w:w="1748" w:type="dxa"/>
            <w:vAlign w:val="center"/>
          </w:tcPr>
          <w:p w14:paraId="54BA2BC9" w14:textId="0EAB005A" w:rsidR="00687DC4" w:rsidRDefault="007D05B7" w:rsidP="00AF1FFE">
            <w:pPr>
              <w:jc w:val="center"/>
            </w:pPr>
            <w:r w:rsidRPr="007D05B7">
              <w:t xml:space="preserve">+ </w:t>
            </w:r>
            <w:r>
              <w:t>9</w:t>
            </w:r>
            <w:r w:rsidRPr="007D05B7">
              <w:t xml:space="preserve"> %</w:t>
            </w:r>
          </w:p>
        </w:tc>
        <w:tc>
          <w:tcPr>
            <w:tcW w:w="1351" w:type="dxa"/>
            <w:vAlign w:val="center"/>
          </w:tcPr>
          <w:p w14:paraId="052EB04A" w14:textId="5FE6FB85" w:rsidR="00687DC4" w:rsidRDefault="007D05B7" w:rsidP="00AF1FFE">
            <w:pPr>
              <w:jc w:val="center"/>
            </w:pPr>
            <w:r w:rsidRPr="007D05B7">
              <w:t xml:space="preserve">+ </w:t>
            </w:r>
            <w:r>
              <w:t>7</w:t>
            </w:r>
            <w:r w:rsidRPr="007D05B7">
              <w:t xml:space="preserve"> %</w:t>
            </w:r>
          </w:p>
        </w:tc>
        <w:tc>
          <w:tcPr>
            <w:tcW w:w="1433" w:type="dxa"/>
            <w:vAlign w:val="center"/>
          </w:tcPr>
          <w:p w14:paraId="6B2DBA6E" w14:textId="7B89C819" w:rsidR="00687DC4" w:rsidRDefault="007D05B7" w:rsidP="00AF1FFE">
            <w:pPr>
              <w:jc w:val="center"/>
            </w:pPr>
            <w:r w:rsidRPr="007D05B7">
              <w:t xml:space="preserve">+ </w:t>
            </w:r>
            <w:r>
              <w:t>3</w:t>
            </w:r>
            <w:r w:rsidRPr="007D05B7">
              <w:t xml:space="preserve"> %</w:t>
            </w:r>
          </w:p>
        </w:tc>
        <w:tc>
          <w:tcPr>
            <w:tcW w:w="1243" w:type="dxa"/>
            <w:vAlign w:val="center"/>
          </w:tcPr>
          <w:p w14:paraId="7DDF666B" w14:textId="78E59598" w:rsidR="00687DC4" w:rsidRDefault="0052710A" w:rsidP="00AF1FFE">
            <w:pPr>
              <w:jc w:val="center"/>
            </w:pPr>
            <w:r w:rsidRPr="009A4562">
              <w:rPr>
                <w:rFonts w:ascii="Arial" w:hAnsi="Arial" w:cs="Arial"/>
                <w:color w:val="808080" w:themeColor="background1" w:themeShade="80"/>
              </w:rPr>
              <w:t>Ø</w:t>
            </w:r>
          </w:p>
        </w:tc>
      </w:tr>
      <w:tr w:rsidR="00687DC4" w14:paraId="6A091028" w14:textId="28DE140E" w:rsidTr="00AF1FFE">
        <w:trPr>
          <w:trHeight w:val="1134"/>
          <w:jc w:val="center"/>
        </w:trPr>
        <w:tc>
          <w:tcPr>
            <w:tcW w:w="1682" w:type="dxa"/>
            <w:vAlign w:val="center"/>
          </w:tcPr>
          <w:p w14:paraId="48A84C9A" w14:textId="1E3F11EF" w:rsidR="00687DC4" w:rsidRDefault="00687DC4" w:rsidP="00AF1FFE">
            <w:pPr>
              <w:jc w:val="center"/>
            </w:pPr>
            <w:r w:rsidRPr="00590187">
              <w:t xml:space="preserve">Croissance annuelle </w:t>
            </w:r>
            <w:r>
              <w:br/>
            </w:r>
            <w:r w:rsidRPr="00590187">
              <w:t>201</w:t>
            </w:r>
            <w:r>
              <w:t>8</w:t>
            </w:r>
            <w:r w:rsidRPr="00590187">
              <w:t>-2019</w:t>
            </w:r>
          </w:p>
        </w:tc>
        <w:tc>
          <w:tcPr>
            <w:tcW w:w="1605" w:type="dxa"/>
            <w:vAlign w:val="center"/>
          </w:tcPr>
          <w:p w14:paraId="7B8F7C4B" w14:textId="2D86B931" w:rsidR="00687DC4" w:rsidRDefault="00D92FA2" w:rsidP="00AF1FFE">
            <w:pPr>
              <w:jc w:val="center"/>
            </w:pPr>
            <w:r>
              <w:t>+ 3 %</w:t>
            </w:r>
          </w:p>
        </w:tc>
        <w:tc>
          <w:tcPr>
            <w:tcW w:w="1748" w:type="dxa"/>
            <w:vAlign w:val="center"/>
          </w:tcPr>
          <w:p w14:paraId="4AA04CF8" w14:textId="1D77D170" w:rsidR="00687DC4" w:rsidRDefault="007D05B7" w:rsidP="00AF1FFE">
            <w:pPr>
              <w:jc w:val="center"/>
            </w:pPr>
            <w:r w:rsidRPr="007D05B7">
              <w:t xml:space="preserve">+ </w:t>
            </w:r>
            <w:r>
              <w:t>8</w:t>
            </w:r>
            <w:r w:rsidRPr="007D05B7">
              <w:t xml:space="preserve"> %</w:t>
            </w:r>
          </w:p>
        </w:tc>
        <w:tc>
          <w:tcPr>
            <w:tcW w:w="1351" w:type="dxa"/>
            <w:vAlign w:val="center"/>
          </w:tcPr>
          <w:p w14:paraId="02B5AC86" w14:textId="6CD125A4" w:rsidR="00687DC4" w:rsidRDefault="007D05B7" w:rsidP="00AF1FFE">
            <w:pPr>
              <w:jc w:val="center"/>
            </w:pPr>
            <w:r w:rsidRPr="007D05B7">
              <w:t xml:space="preserve">+ </w:t>
            </w:r>
            <w:r>
              <w:t>3</w:t>
            </w:r>
            <w:r w:rsidRPr="007D05B7">
              <w:t xml:space="preserve"> %</w:t>
            </w:r>
          </w:p>
        </w:tc>
        <w:tc>
          <w:tcPr>
            <w:tcW w:w="1433" w:type="dxa"/>
            <w:vAlign w:val="center"/>
          </w:tcPr>
          <w:p w14:paraId="0EA84FC6" w14:textId="5A8E6229" w:rsidR="00687DC4" w:rsidRDefault="007D05B7" w:rsidP="00AF1FFE">
            <w:pPr>
              <w:jc w:val="center"/>
            </w:pPr>
            <w:r>
              <w:t>-</w:t>
            </w:r>
            <w:r w:rsidRPr="007D05B7">
              <w:t xml:space="preserve"> 1 %</w:t>
            </w:r>
          </w:p>
        </w:tc>
        <w:tc>
          <w:tcPr>
            <w:tcW w:w="1243" w:type="dxa"/>
            <w:vAlign w:val="center"/>
          </w:tcPr>
          <w:p w14:paraId="6AB41B46" w14:textId="385E854E" w:rsidR="00687DC4" w:rsidRDefault="0052710A" w:rsidP="00AF1FFE">
            <w:pPr>
              <w:jc w:val="center"/>
            </w:pPr>
            <w:r w:rsidRPr="009A4562">
              <w:rPr>
                <w:rFonts w:ascii="Arial" w:hAnsi="Arial" w:cs="Arial"/>
                <w:color w:val="808080" w:themeColor="background1" w:themeShade="80"/>
              </w:rPr>
              <w:t>Ø</w:t>
            </w:r>
          </w:p>
        </w:tc>
      </w:tr>
    </w:tbl>
    <w:p w14:paraId="0287065C" w14:textId="6931420A" w:rsidR="00AF1FFE" w:rsidRDefault="005712C3" w:rsidP="00AF1FFE">
      <w:pPr>
        <w:spacing w:before="120"/>
        <w:rPr>
          <w:color w:val="595959" w:themeColor="text1" w:themeTint="A6"/>
          <w:sz w:val="18"/>
          <w:szCs w:val="18"/>
        </w:rPr>
      </w:pPr>
      <w:r w:rsidRPr="0050392D">
        <w:rPr>
          <w:color w:val="595959" w:themeColor="text1" w:themeTint="A6"/>
          <w:sz w:val="18"/>
          <w:szCs w:val="18"/>
        </w:rPr>
        <w:t xml:space="preserve">Source : Thomson Reuters </w:t>
      </w:r>
      <w:proofErr w:type="spellStart"/>
      <w:r w:rsidRPr="0050392D">
        <w:rPr>
          <w:color w:val="595959" w:themeColor="text1" w:themeTint="A6"/>
          <w:sz w:val="18"/>
          <w:szCs w:val="18"/>
        </w:rPr>
        <w:t>Eikon</w:t>
      </w:r>
      <w:proofErr w:type="spellEnd"/>
      <w:r w:rsidRPr="0050392D">
        <w:rPr>
          <w:color w:val="595959" w:themeColor="text1" w:themeTint="A6"/>
          <w:sz w:val="18"/>
          <w:szCs w:val="18"/>
        </w:rPr>
        <w:t>, analyse Arthur D. Little.</w:t>
      </w:r>
      <w:r w:rsidR="001139F3" w:rsidRPr="0050392D">
        <w:rPr>
          <w:color w:val="595959" w:themeColor="text1" w:themeTint="A6"/>
          <w:sz w:val="18"/>
          <w:szCs w:val="18"/>
        </w:rPr>
        <w:t xml:space="preserve"> </w:t>
      </w:r>
      <w:r w:rsidRPr="0050392D">
        <w:rPr>
          <w:color w:val="595959" w:themeColor="text1" w:themeTint="A6"/>
          <w:sz w:val="18"/>
          <w:szCs w:val="18"/>
        </w:rPr>
        <w:t>(1) Panel de 180 entreprises : par secteur, sélection par leur Chiffre d’affaires des entreprises du top 30 en 2019.</w:t>
      </w:r>
      <w:r w:rsidR="001139F3" w:rsidRPr="0050392D">
        <w:rPr>
          <w:color w:val="595959" w:themeColor="text1" w:themeTint="A6"/>
          <w:sz w:val="18"/>
          <w:szCs w:val="18"/>
        </w:rPr>
        <w:t xml:space="preserve"> </w:t>
      </w:r>
      <w:r w:rsidRPr="0050392D">
        <w:rPr>
          <w:color w:val="595959" w:themeColor="text1" w:themeTint="A6"/>
          <w:sz w:val="18"/>
          <w:szCs w:val="18"/>
        </w:rPr>
        <w:t>(2) Euros constants 2019.</w:t>
      </w:r>
      <w:r w:rsidR="001139F3" w:rsidRPr="0050392D">
        <w:rPr>
          <w:color w:val="595959" w:themeColor="text1" w:themeTint="A6"/>
          <w:sz w:val="18"/>
          <w:szCs w:val="18"/>
        </w:rPr>
        <w:t xml:space="preserve"> </w:t>
      </w:r>
      <w:r w:rsidRPr="0050392D">
        <w:rPr>
          <w:color w:val="595959" w:themeColor="text1" w:themeTint="A6"/>
          <w:sz w:val="18"/>
          <w:szCs w:val="18"/>
        </w:rPr>
        <w:t>(3) Inclus les acteurs des top 30 hors Asie, Amérique du Nord et Europe (uniquement Océanie, Moyen-Orient, Afrique et Amérique du Sud).</w:t>
      </w:r>
    </w:p>
    <w:p w14:paraId="21BF61EF" w14:textId="77777777" w:rsidR="00AF1FFE" w:rsidRDefault="00AF1FFE">
      <w:pPr>
        <w:rPr>
          <w:color w:val="595959" w:themeColor="text1" w:themeTint="A6"/>
          <w:sz w:val="18"/>
          <w:szCs w:val="18"/>
        </w:rPr>
      </w:pPr>
      <w:r>
        <w:rPr>
          <w:color w:val="595959" w:themeColor="text1" w:themeTint="A6"/>
          <w:sz w:val="18"/>
          <w:szCs w:val="18"/>
        </w:rPr>
        <w:br w:type="page"/>
      </w:r>
    </w:p>
    <w:p w14:paraId="36F28F3B" w14:textId="5041AC97" w:rsidR="00E00994" w:rsidRPr="00E00994" w:rsidRDefault="00E00994" w:rsidP="001139F3">
      <w:pPr>
        <w:pStyle w:val="Titre2"/>
      </w:pPr>
      <w:r w:rsidRPr="00E00994">
        <w:t>Une capitalisation boursière en berne en Europe en 2019, faute de croissance</w:t>
      </w:r>
    </w:p>
    <w:p w14:paraId="06381BC9" w14:textId="731402D3" w:rsidR="001139F3" w:rsidRPr="00E00994" w:rsidRDefault="00E00994" w:rsidP="00E00994">
      <w:r w:rsidRPr="00E00994">
        <w:t>Capitalisation boursière des opérateurs télécoms par région</w:t>
      </w:r>
      <w:r w:rsidRPr="00E00994">
        <w:rPr>
          <w:vertAlign w:val="superscript"/>
        </w:rPr>
        <w:t xml:space="preserve">1,2 </w:t>
      </w:r>
      <w:r w:rsidRPr="00E00994">
        <w:t>Monde, 2010-2019, milliards d’euros constants</w:t>
      </w:r>
      <w:r w:rsidR="00AF1FFE">
        <w:t xml:space="preserve"> | </w:t>
      </w:r>
      <w:r w:rsidR="00AF1FFE" w:rsidRPr="00AF1FFE">
        <w:t>Une perte de valeur boursière des opérateurs européens depuis 10 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8"/>
        <w:gridCol w:w="1603"/>
        <w:gridCol w:w="1753"/>
        <w:gridCol w:w="1347"/>
        <w:gridCol w:w="1438"/>
        <w:gridCol w:w="1243"/>
      </w:tblGrid>
      <w:tr w:rsidR="00E00994" w:rsidRPr="00E00994" w14:paraId="346E426C" w14:textId="77777777" w:rsidTr="00AF1FFE">
        <w:trPr>
          <w:trHeight w:val="567"/>
        </w:trPr>
        <w:tc>
          <w:tcPr>
            <w:tcW w:w="1680" w:type="dxa"/>
            <w:shd w:val="clear" w:color="auto" w:fill="EBF0F5"/>
            <w:vAlign w:val="center"/>
            <w:hideMark/>
          </w:tcPr>
          <w:p w14:paraId="11E532E2" w14:textId="77777777" w:rsidR="00E00994" w:rsidRPr="00E00994" w:rsidRDefault="00E00994" w:rsidP="00AF1FFE">
            <w:pPr>
              <w:spacing w:after="0"/>
              <w:jc w:val="center"/>
            </w:pPr>
            <w:r w:rsidRPr="00E00994">
              <w:rPr>
                <w:b/>
                <w:bCs/>
              </w:rPr>
              <w:t>Année</w:t>
            </w:r>
          </w:p>
        </w:tc>
        <w:tc>
          <w:tcPr>
            <w:tcW w:w="1605" w:type="dxa"/>
            <w:shd w:val="clear" w:color="auto" w:fill="EBF0F5"/>
            <w:vAlign w:val="center"/>
            <w:hideMark/>
          </w:tcPr>
          <w:p w14:paraId="20DDBF2D" w14:textId="77777777" w:rsidR="00E00994" w:rsidRPr="00E00994" w:rsidRDefault="00E00994" w:rsidP="00AF1FFE">
            <w:pPr>
              <w:spacing w:after="0"/>
              <w:jc w:val="center"/>
            </w:pPr>
            <w:r w:rsidRPr="00E00994">
              <w:rPr>
                <w:b/>
                <w:bCs/>
              </w:rPr>
              <w:t>Europe</w:t>
            </w:r>
          </w:p>
        </w:tc>
        <w:tc>
          <w:tcPr>
            <w:tcW w:w="1755" w:type="dxa"/>
            <w:shd w:val="clear" w:color="auto" w:fill="EBF0F5"/>
            <w:vAlign w:val="center"/>
            <w:hideMark/>
          </w:tcPr>
          <w:p w14:paraId="75FBE83A" w14:textId="77777777" w:rsidR="00E00994" w:rsidRPr="00E00994" w:rsidRDefault="00E00994" w:rsidP="00AF1FFE">
            <w:pPr>
              <w:spacing w:after="0"/>
              <w:jc w:val="center"/>
            </w:pPr>
            <w:r w:rsidRPr="00E00994">
              <w:rPr>
                <w:b/>
                <w:bCs/>
              </w:rPr>
              <w:t>Amérique</w:t>
            </w:r>
            <w:r w:rsidRPr="00E00994">
              <w:rPr>
                <w:b/>
                <w:bCs/>
              </w:rPr>
              <w:br/>
              <w:t>du Nord</w:t>
            </w:r>
          </w:p>
        </w:tc>
        <w:tc>
          <w:tcPr>
            <w:tcW w:w="1350" w:type="dxa"/>
            <w:shd w:val="clear" w:color="auto" w:fill="EBF0F5"/>
            <w:vAlign w:val="center"/>
            <w:hideMark/>
          </w:tcPr>
          <w:p w14:paraId="5C08F2D4" w14:textId="77777777" w:rsidR="00E00994" w:rsidRPr="00E00994" w:rsidRDefault="00E00994" w:rsidP="00AF1FFE">
            <w:pPr>
              <w:spacing w:after="0"/>
              <w:jc w:val="center"/>
            </w:pPr>
            <w:r w:rsidRPr="00E00994">
              <w:rPr>
                <w:b/>
                <w:bCs/>
              </w:rPr>
              <w:t>Asie</w:t>
            </w:r>
          </w:p>
        </w:tc>
        <w:tc>
          <w:tcPr>
            <w:tcW w:w="1440" w:type="dxa"/>
            <w:shd w:val="clear" w:color="auto" w:fill="EBF0F5"/>
            <w:vAlign w:val="center"/>
            <w:hideMark/>
          </w:tcPr>
          <w:p w14:paraId="5E588F4C" w14:textId="77777777" w:rsidR="00E00994" w:rsidRPr="00E00994" w:rsidRDefault="00E00994" w:rsidP="00AF1FFE">
            <w:pPr>
              <w:spacing w:after="0"/>
              <w:jc w:val="center"/>
            </w:pPr>
            <w:r w:rsidRPr="00E00994">
              <w:rPr>
                <w:b/>
                <w:bCs/>
              </w:rPr>
              <w:t>Autres</w:t>
            </w:r>
            <w:r w:rsidRPr="00E00994">
              <w:rPr>
                <w:b/>
                <w:bCs/>
                <w:vertAlign w:val="superscript"/>
              </w:rPr>
              <w:t>3</w:t>
            </w:r>
          </w:p>
        </w:tc>
        <w:tc>
          <w:tcPr>
            <w:tcW w:w="1245" w:type="dxa"/>
            <w:shd w:val="clear" w:color="auto" w:fill="EBF0F5"/>
            <w:vAlign w:val="center"/>
            <w:hideMark/>
          </w:tcPr>
          <w:p w14:paraId="067E401D" w14:textId="77777777" w:rsidR="00E00994" w:rsidRPr="00E00994" w:rsidRDefault="00E00994" w:rsidP="00AF1FFE">
            <w:pPr>
              <w:spacing w:after="0"/>
              <w:jc w:val="center"/>
            </w:pPr>
            <w:r w:rsidRPr="00E00994">
              <w:rPr>
                <w:b/>
                <w:bCs/>
              </w:rPr>
              <w:t>Total</w:t>
            </w:r>
          </w:p>
        </w:tc>
      </w:tr>
      <w:tr w:rsidR="00E00994" w:rsidRPr="00E00994" w14:paraId="251AE07F" w14:textId="77777777" w:rsidTr="00AF1FFE">
        <w:trPr>
          <w:trHeight w:val="567"/>
        </w:trPr>
        <w:tc>
          <w:tcPr>
            <w:tcW w:w="1680" w:type="dxa"/>
            <w:vAlign w:val="center"/>
            <w:hideMark/>
          </w:tcPr>
          <w:p w14:paraId="04F6F152" w14:textId="77777777" w:rsidR="00E00994" w:rsidRPr="00E00994" w:rsidRDefault="00E00994" w:rsidP="00AF1FFE">
            <w:pPr>
              <w:spacing w:after="0"/>
              <w:jc w:val="center"/>
            </w:pPr>
            <w:r w:rsidRPr="00E00994">
              <w:t>2010</w:t>
            </w:r>
          </w:p>
        </w:tc>
        <w:tc>
          <w:tcPr>
            <w:tcW w:w="1605" w:type="dxa"/>
            <w:vAlign w:val="center"/>
            <w:hideMark/>
          </w:tcPr>
          <w:p w14:paraId="1094803A" w14:textId="77777777" w:rsidR="00E00994" w:rsidRPr="00E00994" w:rsidRDefault="00E00994" w:rsidP="00AF1FFE">
            <w:pPr>
              <w:spacing w:after="0"/>
              <w:jc w:val="center"/>
            </w:pPr>
            <w:r w:rsidRPr="00E00994">
              <w:t>313</w:t>
            </w:r>
          </w:p>
        </w:tc>
        <w:tc>
          <w:tcPr>
            <w:tcW w:w="1755" w:type="dxa"/>
            <w:vAlign w:val="center"/>
            <w:hideMark/>
          </w:tcPr>
          <w:p w14:paraId="2C07F5B5" w14:textId="77777777" w:rsidR="00E00994" w:rsidRPr="00E00994" w:rsidRDefault="00E00994" w:rsidP="00AF1FFE">
            <w:pPr>
              <w:spacing w:after="0"/>
              <w:jc w:val="center"/>
            </w:pPr>
            <w:r w:rsidRPr="00E00994">
              <w:t>337</w:t>
            </w:r>
          </w:p>
        </w:tc>
        <w:tc>
          <w:tcPr>
            <w:tcW w:w="1350" w:type="dxa"/>
            <w:vAlign w:val="center"/>
            <w:hideMark/>
          </w:tcPr>
          <w:p w14:paraId="4869E2EA" w14:textId="77777777" w:rsidR="00E00994" w:rsidRPr="00E00994" w:rsidRDefault="00E00994" w:rsidP="00AF1FFE">
            <w:pPr>
              <w:spacing w:after="0"/>
              <w:jc w:val="center"/>
            </w:pPr>
            <w:r w:rsidRPr="00E00994">
              <w:t>428</w:t>
            </w:r>
          </w:p>
        </w:tc>
        <w:tc>
          <w:tcPr>
            <w:tcW w:w="1440" w:type="dxa"/>
            <w:vAlign w:val="center"/>
            <w:hideMark/>
          </w:tcPr>
          <w:p w14:paraId="213313C3" w14:textId="77777777" w:rsidR="00E00994" w:rsidRPr="00E00994" w:rsidRDefault="00E00994" w:rsidP="00AF1FFE">
            <w:pPr>
              <w:spacing w:after="0"/>
              <w:jc w:val="center"/>
            </w:pPr>
            <w:r w:rsidRPr="00E00994">
              <w:t>130</w:t>
            </w:r>
          </w:p>
        </w:tc>
        <w:tc>
          <w:tcPr>
            <w:tcW w:w="1245" w:type="dxa"/>
            <w:vAlign w:val="center"/>
            <w:hideMark/>
          </w:tcPr>
          <w:p w14:paraId="3F89D0C5" w14:textId="77777777" w:rsidR="00E00994" w:rsidRPr="00E00994" w:rsidRDefault="00E00994" w:rsidP="00AF1FFE">
            <w:pPr>
              <w:spacing w:after="0"/>
              <w:jc w:val="center"/>
            </w:pPr>
            <w:r w:rsidRPr="00E00994">
              <w:t>1 208</w:t>
            </w:r>
          </w:p>
        </w:tc>
      </w:tr>
      <w:tr w:rsidR="00E00994" w:rsidRPr="00E00994" w14:paraId="37DA5D1C" w14:textId="77777777" w:rsidTr="00AF1FFE">
        <w:trPr>
          <w:trHeight w:val="567"/>
        </w:trPr>
        <w:tc>
          <w:tcPr>
            <w:tcW w:w="1680" w:type="dxa"/>
            <w:vAlign w:val="center"/>
            <w:hideMark/>
          </w:tcPr>
          <w:p w14:paraId="13233431" w14:textId="77777777" w:rsidR="00E00994" w:rsidRPr="00E00994" w:rsidRDefault="00E00994" w:rsidP="00AF1FFE">
            <w:pPr>
              <w:spacing w:after="0"/>
              <w:jc w:val="center"/>
            </w:pPr>
            <w:r w:rsidRPr="00E00994">
              <w:t>2011</w:t>
            </w:r>
          </w:p>
        </w:tc>
        <w:tc>
          <w:tcPr>
            <w:tcW w:w="1605" w:type="dxa"/>
            <w:vAlign w:val="center"/>
            <w:hideMark/>
          </w:tcPr>
          <w:p w14:paraId="4895FD4A" w14:textId="77777777" w:rsidR="00E00994" w:rsidRPr="00E00994" w:rsidRDefault="00E00994" w:rsidP="00AF1FFE">
            <w:pPr>
              <w:spacing w:after="0"/>
              <w:jc w:val="center"/>
            </w:pPr>
            <w:r w:rsidRPr="00E00994">
              <w:t>287</w:t>
            </w:r>
          </w:p>
        </w:tc>
        <w:tc>
          <w:tcPr>
            <w:tcW w:w="1755" w:type="dxa"/>
            <w:vAlign w:val="center"/>
            <w:hideMark/>
          </w:tcPr>
          <w:p w14:paraId="3D22D048" w14:textId="77777777" w:rsidR="00E00994" w:rsidRPr="00E00994" w:rsidRDefault="00E00994" w:rsidP="00AF1FFE">
            <w:pPr>
              <w:spacing w:after="0"/>
              <w:jc w:val="center"/>
            </w:pPr>
            <w:r w:rsidRPr="00E00994">
              <w:t>361</w:t>
            </w:r>
          </w:p>
        </w:tc>
        <w:tc>
          <w:tcPr>
            <w:tcW w:w="1350" w:type="dxa"/>
            <w:vAlign w:val="center"/>
            <w:hideMark/>
          </w:tcPr>
          <w:p w14:paraId="7B9D302C" w14:textId="77777777" w:rsidR="00E00994" w:rsidRPr="00E00994" w:rsidRDefault="00E00994" w:rsidP="00AF1FFE">
            <w:pPr>
              <w:spacing w:after="0"/>
              <w:jc w:val="center"/>
            </w:pPr>
            <w:r w:rsidRPr="00E00994">
              <w:t>434</w:t>
            </w:r>
          </w:p>
        </w:tc>
        <w:tc>
          <w:tcPr>
            <w:tcW w:w="1440" w:type="dxa"/>
            <w:vAlign w:val="center"/>
            <w:hideMark/>
          </w:tcPr>
          <w:p w14:paraId="584DF5E7" w14:textId="77777777" w:rsidR="00E00994" w:rsidRPr="00E00994" w:rsidRDefault="00E00994" w:rsidP="00AF1FFE">
            <w:pPr>
              <w:spacing w:after="0"/>
              <w:jc w:val="center"/>
            </w:pPr>
            <w:r w:rsidRPr="00E00994">
              <w:t>116</w:t>
            </w:r>
          </w:p>
        </w:tc>
        <w:tc>
          <w:tcPr>
            <w:tcW w:w="1245" w:type="dxa"/>
            <w:vAlign w:val="center"/>
            <w:hideMark/>
          </w:tcPr>
          <w:p w14:paraId="41DF8ABD" w14:textId="77777777" w:rsidR="00E00994" w:rsidRPr="00E00994" w:rsidRDefault="00E00994" w:rsidP="00AF1FFE">
            <w:pPr>
              <w:spacing w:after="0"/>
              <w:jc w:val="center"/>
            </w:pPr>
            <w:r w:rsidRPr="00E00994">
              <w:t>1 197</w:t>
            </w:r>
          </w:p>
        </w:tc>
      </w:tr>
      <w:tr w:rsidR="00E00994" w:rsidRPr="00E00994" w14:paraId="3D4F261D" w14:textId="77777777" w:rsidTr="00AF1FFE">
        <w:trPr>
          <w:trHeight w:val="567"/>
        </w:trPr>
        <w:tc>
          <w:tcPr>
            <w:tcW w:w="1680" w:type="dxa"/>
            <w:vAlign w:val="center"/>
            <w:hideMark/>
          </w:tcPr>
          <w:p w14:paraId="4F32DCF4" w14:textId="77777777" w:rsidR="00E00994" w:rsidRPr="00E00994" w:rsidRDefault="00E00994" w:rsidP="00AF1FFE">
            <w:pPr>
              <w:spacing w:after="0"/>
              <w:jc w:val="center"/>
            </w:pPr>
            <w:r w:rsidRPr="00E00994">
              <w:t>2012</w:t>
            </w:r>
          </w:p>
        </w:tc>
        <w:tc>
          <w:tcPr>
            <w:tcW w:w="1605" w:type="dxa"/>
            <w:vAlign w:val="center"/>
            <w:hideMark/>
          </w:tcPr>
          <w:p w14:paraId="6D53580D" w14:textId="77777777" w:rsidR="00E00994" w:rsidRPr="00E00994" w:rsidRDefault="00E00994" w:rsidP="00AF1FFE">
            <w:pPr>
              <w:spacing w:after="0"/>
              <w:jc w:val="center"/>
            </w:pPr>
            <w:r w:rsidRPr="00E00994">
              <w:t>247</w:t>
            </w:r>
          </w:p>
        </w:tc>
        <w:tc>
          <w:tcPr>
            <w:tcW w:w="1755" w:type="dxa"/>
            <w:vAlign w:val="center"/>
            <w:hideMark/>
          </w:tcPr>
          <w:p w14:paraId="3165DBA4" w14:textId="77777777" w:rsidR="00E00994" w:rsidRPr="00E00994" w:rsidRDefault="00E00994" w:rsidP="00AF1FFE">
            <w:pPr>
              <w:spacing w:after="0"/>
              <w:jc w:val="center"/>
            </w:pPr>
            <w:r w:rsidRPr="00E00994">
              <w:t>413</w:t>
            </w:r>
          </w:p>
        </w:tc>
        <w:tc>
          <w:tcPr>
            <w:tcW w:w="1350" w:type="dxa"/>
            <w:vAlign w:val="center"/>
            <w:hideMark/>
          </w:tcPr>
          <w:p w14:paraId="2BA7F23A" w14:textId="77777777" w:rsidR="00E00994" w:rsidRPr="00E00994" w:rsidRDefault="00E00994" w:rsidP="00AF1FFE">
            <w:pPr>
              <w:spacing w:after="0"/>
              <w:jc w:val="center"/>
            </w:pPr>
            <w:r w:rsidRPr="00E00994">
              <w:t>454</w:t>
            </w:r>
          </w:p>
        </w:tc>
        <w:tc>
          <w:tcPr>
            <w:tcW w:w="1440" w:type="dxa"/>
            <w:vAlign w:val="center"/>
            <w:hideMark/>
          </w:tcPr>
          <w:p w14:paraId="65047821" w14:textId="77777777" w:rsidR="00E00994" w:rsidRPr="00E00994" w:rsidRDefault="00E00994" w:rsidP="00AF1FFE">
            <w:pPr>
              <w:spacing w:after="0"/>
              <w:jc w:val="center"/>
            </w:pPr>
            <w:r w:rsidRPr="00E00994">
              <w:t>125</w:t>
            </w:r>
          </w:p>
        </w:tc>
        <w:tc>
          <w:tcPr>
            <w:tcW w:w="1245" w:type="dxa"/>
            <w:vAlign w:val="center"/>
            <w:hideMark/>
          </w:tcPr>
          <w:p w14:paraId="77817AC1" w14:textId="77777777" w:rsidR="00E00994" w:rsidRPr="00E00994" w:rsidRDefault="00E00994" w:rsidP="00AF1FFE">
            <w:pPr>
              <w:spacing w:after="0"/>
              <w:jc w:val="center"/>
            </w:pPr>
            <w:r w:rsidRPr="00E00994">
              <w:t>1 239</w:t>
            </w:r>
          </w:p>
        </w:tc>
      </w:tr>
      <w:tr w:rsidR="00E00994" w:rsidRPr="00E00994" w14:paraId="42641AE3" w14:textId="77777777" w:rsidTr="00AF1FFE">
        <w:trPr>
          <w:trHeight w:val="567"/>
        </w:trPr>
        <w:tc>
          <w:tcPr>
            <w:tcW w:w="1680" w:type="dxa"/>
            <w:vAlign w:val="center"/>
            <w:hideMark/>
          </w:tcPr>
          <w:p w14:paraId="207604DF" w14:textId="77777777" w:rsidR="00E00994" w:rsidRPr="00E00994" w:rsidRDefault="00E00994" w:rsidP="00AF1FFE">
            <w:pPr>
              <w:spacing w:after="0"/>
              <w:jc w:val="center"/>
            </w:pPr>
            <w:r w:rsidRPr="00E00994">
              <w:t>2013</w:t>
            </w:r>
          </w:p>
        </w:tc>
        <w:tc>
          <w:tcPr>
            <w:tcW w:w="1605" w:type="dxa"/>
            <w:vAlign w:val="center"/>
            <w:hideMark/>
          </w:tcPr>
          <w:p w14:paraId="6AA5ACC9" w14:textId="77777777" w:rsidR="00E00994" w:rsidRPr="00E00994" w:rsidRDefault="00E00994" w:rsidP="00AF1FFE">
            <w:pPr>
              <w:spacing w:after="0"/>
              <w:jc w:val="center"/>
            </w:pPr>
            <w:r w:rsidRPr="00E00994">
              <w:t>340</w:t>
            </w:r>
          </w:p>
        </w:tc>
        <w:tc>
          <w:tcPr>
            <w:tcW w:w="1755" w:type="dxa"/>
            <w:vAlign w:val="center"/>
            <w:hideMark/>
          </w:tcPr>
          <w:p w14:paraId="70E289B0" w14:textId="77777777" w:rsidR="00E00994" w:rsidRPr="00E00994" w:rsidRDefault="00E00994" w:rsidP="00AF1FFE">
            <w:pPr>
              <w:spacing w:after="0"/>
              <w:jc w:val="center"/>
            </w:pPr>
            <w:r w:rsidRPr="00E00994">
              <w:t>495</w:t>
            </w:r>
          </w:p>
        </w:tc>
        <w:tc>
          <w:tcPr>
            <w:tcW w:w="1350" w:type="dxa"/>
            <w:vAlign w:val="center"/>
            <w:hideMark/>
          </w:tcPr>
          <w:p w14:paraId="3DC909A4" w14:textId="77777777" w:rsidR="00E00994" w:rsidRPr="00E00994" w:rsidRDefault="00E00994" w:rsidP="00AF1FFE">
            <w:pPr>
              <w:spacing w:after="0"/>
              <w:jc w:val="center"/>
            </w:pPr>
            <w:r w:rsidRPr="00E00994">
              <w:t>547</w:t>
            </w:r>
          </w:p>
        </w:tc>
        <w:tc>
          <w:tcPr>
            <w:tcW w:w="1440" w:type="dxa"/>
            <w:vAlign w:val="center"/>
            <w:hideMark/>
          </w:tcPr>
          <w:p w14:paraId="6483B736" w14:textId="77777777" w:rsidR="00E00994" w:rsidRPr="00E00994" w:rsidRDefault="00E00994" w:rsidP="00AF1FFE">
            <w:pPr>
              <w:spacing w:after="0"/>
              <w:jc w:val="center"/>
            </w:pPr>
            <w:r w:rsidRPr="00E00994">
              <w:t>140</w:t>
            </w:r>
          </w:p>
        </w:tc>
        <w:tc>
          <w:tcPr>
            <w:tcW w:w="1245" w:type="dxa"/>
            <w:vAlign w:val="center"/>
            <w:hideMark/>
          </w:tcPr>
          <w:p w14:paraId="2C187C45" w14:textId="77777777" w:rsidR="00E00994" w:rsidRPr="00E00994" w:rsidRDefault="00E00994" w:rsidP="00AF1FFE">
            <w:pPr>
              <w:spacing w:after="0"/>
              <w:jc w:val="center"/>
            </w:pPr>
            <w:r w:rsidRPr="00E00994">
              <w:t>1 521</w:t>
            </w:r>
          </w:p>
        </w:tc>
      </w:tr>
      <w:tr w:rsidR="00E00994" w:rsidRPr="00E00994" w14:paraId="39281959" w14:textId="77777777" w:rsidTr="00AF1FFE">
        <w:trPr>
          <w:trHeight w:val="567"/>
        </w:trPr>
        <w:tc>
          <w:tcPr>
            <w:tcW w:w="1680" w:type="dxa"/>
            <w:vAlign w:val="center"/>
            <w:hideMark/>
          </w:tcPr>
          <w:p w14:paraId="15685CAC" w14:textId="77777777" w:rsidR="00E00994" w:rsidRPr="00E00994" w:rsidRDefault="00E00994" w:rsidP="00AF1FFE">
            <w:pPr>
              <w:spacing w:after="0"/>
              <w:jc w:val="center"/>
            </w:pPr>
            <w:r w:rsidRPr="00E00994">
              <w:t>2014</w:t>
            </w:r>
          </w:p>
        </w:tc>
        <w:tc>
          <w:tcPr>
            <w:tcW w:w="1605" w:type="dxa"/>
            <w:vAlign w:val="center"/>
            <w:hideMark/>
          </w:tcPr>
          <w:p w14:paraId="5FB7DCAB" w14:textId="77777777" w:rsidR="00E00994" w:rsidRPr="00E00994" w:rsidRDefault="00E00994" w:rsidP="00AF1FFE">
            <w:pPr>
              <w:spacing w:after="0"/>
              <w:jc w:val="center"/>
            </w:pPr>
            <w:r w:rsidRPr="00E00994">
              <w:t>317</w:t>
            </w:r>
          </w:p>
        </w:tc>
        <w:tc>
          <w:tcPr>
            <w:tcW w:w="1755" w:type="dxa"/>
            <w:vAlign w:val="center"/>
            <w:hideMark/>
          </w:tcPr>
          <w:p w14:paraId="2B997014" w14:textId="77777777" w:rsidR="00E00994" w:rsidRPr="00E00994" w:rsidRDefault="00E00994" w:rsidP="00AF1FFE">
            <w:pPr>
              <w:spacing w:after="0"/>
              <w:jc w:val="center"/>
            </w:pPr>
            <w:r w:rsidRPr="00E00994">
              <w:t>557</w:t>
            </w:r>
          </w:p>
        </w:tc>
        <w:tc>
          <w:tcPr>
            <w:tcW w:w="1350" w:type="dxa"/>
            <w:vAlign w:val="center"/>
            <w:hideMark/>
          </w:tcPr>
          <w:p w14:paraId="386D6E95" w14:textId="77777777" w:rsidR="00E00994" w:rsidRPr="00E00994" w:rsidRDefault="00E00994" w:rsidP="00AF1FFE">
            <w:pPr>
              <w:spacing w:after="0"/>
              <w:jc w:val="center"/>
            </w:pPr>
            <w:r w:rsidRPr="00E00994">
              <w:t>567</w:t>
            </w:r>
          </w:p>
        </w:tc>
        <w:tc>
          <w:tcPr>
            <w:tcW w:w="1440" w:type="dxa"/>
            <w:vAlign w:val="center"/>
            <w:hideMark/>
          </w:tcPr>
          <w:p w14:paraId="59381043" w14:textId="77777777" w:rsidR="00E00994" w:rsidRPr="00E00994" w:rsidRDefault="00E00994" w:rsidP="00AF1FFE">
            <w:pPr>
              <w:spacing w:after="0"/>
              <w:jc w:val="center"/>
            </w:pPr>
            <w:r w:rsidRPr="00E00994">
              <w:t>151</w:t>
            </w:r>
          </w:p>
        </w:tc>
        <w:tc>
          <w:tcPr>
            <w:tcW w:w="1245" w:type="dxa"/>
            <w:vAlign w:val="center"/>
            <w:hideMark/>
          </w:tcPr>
          <w:p w14:paraId="56D4B4C7" w14:textId="77777777" w:rsidR="00E00994" w:rsidRPr="00E00994" w:rsidRDefault="00E00994" w:rsidP="00AF1FFE">
            <w:pPr>
              <w:spacing w:after="0"/>
              <w:jc w:val="center"/>
            </w:pPr>
            <w:r w:rsidRPr="00E00994">
              <w:t>1 592</w:t>
            </w:r>
          </w:p>
        </w:tc>
      </w:tr>
      <w:tr w:rsidR="00E00994" w:rsidRPr="00E00994" w14:paraId="7E0863F0" w14:textId="77777777" w:rsidTr="00AF1FFE">
        <w:trPr>
          <w:trHeight w:val="567"/>
        </w:trPr>
        <w:tc>
          <w:tcPr>
            <w:tcW w:w="1680" w:type="dxa"/>
            <w:vAlign w:val="center"/>
            <w:hideMark/>
          </w:tcPr>
          <w:p w14:paraId="52614A1E" w14:textId="77777777" w:rsidR="00E00994" w:rsidRPr="00E00994" w:rsidRDefault="00E00994" w:rsidP="00AF1FFE">
            <w:pPr>
              <w:spacing w:after="0"/>
              <w:jc w:val="center"/>
            </w:pPr>
            <w:r w:rsidRPr="00E00994">
              <w:t>2015</w:t>
            </w:r>
          </w:p>
        </w:tc>
        <w:tc>
          <w:tcPr>
            <w:tcW w:w="1605" w:type="dxa"/>
            <w:vAlign w:val="center"/>
            <w:hideMark/>
          </w:tcPr>
          <w:p w14:paraId="7965321E" w14:textId="77777777" w:rsidR="00E00994" w:rsidRPr="00E00994" w:rsidRDefault="00E00994" w:rsidP="00AF1FFE">
            <w:pPr>
              <w:spacing w:after="0"/>
              <w:jc w:val="center"/>
            </w:pPr>
            <w:r w:rsidRPr="00E00994">
              <w:t>344</w:t>
            </w:r>
          </w:p>
        </w:tc>
        <w:tc>
          <w:tcPr>
            <w:tcW w:w="1755" w:type="dxa"/>
            <w:vAlign w:val="center"/>
            <w:hideMark/>
          </w:tcPr>
          <w:p w14:paraId="3A40A535" w14:textId="77777777" w:rsidR="00E00994" w:rsidRPr="00E00994" w:rsidRDefault="00E00994" w:rsidP="00AF1FFE">
            <w:pPr>
              <w:spacing w:after="0"/>
              <w:jc w:val="center"/>
            </w:pPr>
            <w:r w:rsidRPr="00E00994">
              <w:t>581</w:t>
            </w:r>
          </w:p>
        </w:tc>
        <w:tc>
          <w:tcPr>
            <w:tcW w:w="1350" w:type="dxa"/>
            <w:vAlign w:val="center"/>
            <w:hideMark/>
          </w:tcPr>
          <w:p w14:paraId="5D0EA2EA" w14:textId="77777777" w:rsidR="00E00994" w:rsidRPr="00E00994" w:rsidRDefault="00E00994" w:rsidP="00AF1FFE">
            <w:pPr>
              <w:spacing w:after="0"/>
              <w:jc w:val="center"/>
            </w:pPr>
            <w:r w:rsidRPr="00E00994">
              <w:t>597</w:t>
            </w:r>
          </w:p>
        </w:tc>
        <w:tc>
          <w:tcPr>
            <w:tcW w:w="1440" w:type="dxa"/>
            <w:vAlign w:val="center"/>
            <w:hideMark/>
          </w:tcPr>
          <w:p w14:paraId="158CE1D9" w14:textId="77777777" w:rsidR="00E00994" w:rsidRPr="00E00994" w:rsidRDefault="00E00994" w:rsidP="00AF1FFE">
            <w:pPr>
              <w:spacing w:after="0"/>
              <w:jc w:val="center"/>
            </w:pPr>
            <w:r w:rsidRPr="00E00994">
              <w:t>148</w:t>
            </w:r>
          </w:p>
        </w:tc>
        <w:tc>
          <w:tcPr>
            <w:tcW w:w="1245" w:type="dxa"/>
            <w:vAlign w:val="center"/>
            <w:hideMark/>
          </w:tcPr>
          <w:p w14:paraId="58C0F874" w14:textId="77777777" w:rsidR="00E00994" w:rsidRPr="00E00994" w:rsidRDefault="00E00994" w:rsidP="00AF1FFE">
            <w:pPr>
              <w:spacing w:after="0"/>
              <w:jc w:val="center"/>
            </w:pPr>
            <w:r w:rsidRPr="00E00994">
              <w:t>1 670</w:t>
            </w:r>
          </w:p>
        </w:tc>
      </w:tr>
      <w:tr w:rsidR="00E00994" w:rsidRPr="00E00994" w14:paraId="2F7AA986" w14:textId="77777777" w:rsidTr="00AF1FFE">
        <w:trPr>
          <w:trHeight w:val="567"/>
        </w:trPr>
        <w:tc>
          <w:tcPr>
            <w:tcW w:w="1680" w:type="dxa"/>
            <w:vAlign w:val="center"/>
            <w:hideMark/>
          </w:tcPr>
          <w:p w14:paraId="22EEDA50" w14:textId="77777777" w:rsidR="00E00994" w:rsidRPr="00E00994" w:rsidRDefault="00E00994" w:rsidP="00AF1FFE">
            <w:pPr>
              <w:spacing w:after="0"/>
              <w:jc w:val="center"/>
            </w:pPr>
            <w:r w:rsidRPr="00E00994">
              <w:t>2016</w:t>
            </w:r>
          </w:p>
        </w:tc>
        <w:tc>
          <w:tcPr>
            <w:tcW w:w="1605" w:type="dxa"/>
            <w:vAlign w:val="center"/>
            <w:hideMark/>
          </w:tcPr>
          <w:p w14:paraId="4039E6BC" w14:textId="77777777" w:rsidR="00E00994" w:rsidRPr="00E00994" w:rsidRDefault="00E00994" w:rsidP="00AF1FFE">
            <w:pPr>
              <w:spacing w:after="0"/>
              <w:jc w:val="center"/>
            </w:pPr>
            <w:r w:rsidRPr="00E00994">
              <w:t>325</w:t>
            </w:r>
          </w:p>
        </w:tc>
        <w:tc>
          <w:tcPr>
            <w:tcW w:w="1755" w:type="dxa"/>
            <w:vAlign w:val="center"/>
            <w:hideMark/>
          </w:tcPr>
          <w:p w14:paraId="08559291" w14:textId="77777777" w:rsidR="00E00994" w:rsidRPr="00E00994" w:rsidRDefault="00E00994" w:rsidP="00AF1FFE">
            <w:pPr>
              <w:spacing w:after="0"/>
              <w:jc w:val="center"/>
            </w:pPr>
            <w:r w:rsidRPr="00E00994">
              <w:t>753</w:t>
            </w:r>
          </w:p>
        </w:tc>
        <w:tc>
          <w:tcPr>
            <w:tcW w:w="1350" w:type="dxa"/>
            <w:vAlign w:val="center"/>
            <w:hideMark/>
          </w:tcPr>
          <w:p w14:paraId="55E4771A" w14:textId="77777777" w:rsidR="00E00994" w:rsidRPr="00E00994" w:rsidRDefault="00E00994" w:rsidP="00AF1FFE">
            <w:pPr>
              <w:spacing w:after="0"/>
              <w:jc w:val="center"/>
            </w:pPr>
            <w:r w:rsidRPr="00E00994">
              <w:t>595</w:t>
            </w:r>
          </w:p>
        </w:tc>
        <w:tc>
          <w:tcPr>
            <w:tcW w:w="1440" w:type="dxa"/>
            <w:vAlign w:val="center"/>
            <w:hideMark/>
          </w:tcPr>
          <w:p w14:paraId="38BA03A7" w14:textId="77777777" w:rsidR="00E00994" w:rsidRPr="00E00994" w:rsidRDefault="00E00994" w:rsidP="00AF1FFE">
            <w:pPr>
              <w:spacing w:after="0"/>
              <w:jc w:val="center"/>
            </w:pPr>
            <w:r w:rsidRPr="00E00994">
              <w:t>153</w:t>
            </w:r>
          </w:p>
        </w:tc>
        <w:tc>
          <w:tcPr>
            <w:tcW w:w="1245" w:type="dxa"/>
            <w:vAlign w:val="center"/>
            <w:hideMark/>
          </w:tcPr>
          <w:p w14:paraId="532AE406" w14:textId="77777777" w:rsidR="00E00994" w:rsidRPr="00E00994" w:rsidRDefault="00E00994" w:rsidP="00AF1FFE">
            <w:pPr>
              <w:spacing w:after="0"/>
              <w:jc w:val="center"/>
            </w:pPr>
            <w:r w:rsidRPr="00E00994">
              <w:t>1 826</w:t>
            </w:r>
          </w:p>
        </w:tc>
      </w:tr>
      <w:tr w:rsidR="00E00994" w:rsidRPr="00E00994" w14:paraId="654B8D87" w14:textId="77777777" w:rsidTr="00AF1FFE">
        <w:trPr>
          <w:trHeight w:val="567"/>
        </w:trPr>
        <w:tc>
          <w:tcPr>
            <w:tcW w:w="1680" w:type="dxa"/>
            <w:vAlign w:val="center"/>
            <w:hideMark/>
          </w:tcPr>
          <w:p w14:paraId="0FC65060" w14:textId="77777777" w:rsidR="00E00994" w:rsidRPr="00E00994" w:rsidRDefault="00E00994" w:rsidP="00AF1FFE">
            <w:pPr>
              <w:spacing w:after="0"/>
              <w:jc w:val="center"/>
            </w:pPr>
            <w:r w:rsidRPr="00E00994">
              <w:t>2017</w:t>
            </w:r>
          </w:p>
        </w:tc>
        <w:tc>
          <w:tcPr>
            <w:tcW w:w="1605" w:type="dxa"/>
            <w:vAlign w:val="center"/>
            <w:hideMark/>
          </w:tcPr>
          <w:p w14:paraId="46062C6B" w14:textId="77777777" w:rsidR="00E00994" w:rsidRPr="00E00994" w:rsidRDefault="00E00994" w:rsidP="00AF1FFE">
            <w:pPr>
              <w:spacing w:after="0"/>
              <w:jc w:val="center"/>
            </w:pPr>
            <w:r w:rsidRPr="00E00994">
              <w:t>313</w:t>
            </w:r>
          </w:p>
        </w:tc>
        <w:tc>
          <w:tcPr>
            <w:tcW w:w="1755" w:type="dxa"/>
            <w:vAlign w:val="center"/>
            <w:hideMark/>
          </w:tcPr>
          <w:p w14:paraId="75E2F1E4" w14:textId="77777777" w:rsidR="00E00994" w:rsidRPr="00E00994" w:rsidRDefault="00E00994" w:rsidP="00AF1FFE">
            <w:pPr>
              <w:spacing w:after="0"/>
              <w:jc w:val="center"/>
            </w:pPr>
            <w:r w:rsidRPr="00E00994">
              <w:t>760</w:t>
            </w:r>
          </w:p>
        </w:tc>
        <w:tc>
          <w:tcPr>
            <w:tcW w:w="1350" w:type="dxa"/>
            <w:vAlign w:val="center"/>
            <w:hideMark/>
          </w:tcPr>
          <w:p w14:paraId="1E669CAF" w14:textId="77777777" w:rsidR="00E00994" w:rsidRPr="00E00994" w:rsidRDefault="00E00994" w:rsidP="00AF1FFE">
            <w:pPr>
              <w:spacing w:after="0"/>
              <w:jc w:val="center"/>
            </w:pPr>
            <w:r w:rsidRPr="00E00994">
              <w:t>621</w:t>
            </w:r>
          </w:p>
        </w:tc>
        <w:tc>
          <w:tcPr>
            <w:tcW w:w="1440" w:type="dxa"/>
            <w:vAlign w:val="center"/>
            <w:hideMark/>
          </w:tcPr>
          <w:p w14:paraId="6195ABEE" w14:textId="77777777" w:rsidR="00E00994" w:rsidRPr="00E00994" w:rsidRDefault="00E00994" w:rsidP="00AF1FFE">
            <w:pPr>
              <w:spacing w:after="0"/>
              <w:jc w:val="center"/>
            </w:pPr>
            <w:r w:rsidRPr="00E00994">
              <w:t>149</w:t>
            </w:r>
          </w:p>
        </w:tc>
        <w:tc>
          <w:tcPr>
            <w:tcW w:w="1245" w:type="dxa"/>
            <w:vAlign w:val="center"/>
            <w:hideMark/>
          </w:tcPr>
          <w:p w14:paraId="45F1B8CE" w14:textId="77777777" w:rsidR="00E00994" w:rsidRPr="00E00994" w:rsidRDefault="00E00994" w:rsidP="00AF1FFE">
            <w:pPr>
              <w:spacing w:after="0"/>
              <w:jc w:val="center"/>
            </w:pPr>
            <w:r w:rsidRPr="00E00994">
              <w:t>1 843</w:t>
            </w:r>
          </w:p>
        </w:tc>
      </w:tr>
      <w:tr w:rsidR="00E00994" w:rsidRPr="00E00994" w14:paraId="35B60FD4" w14:textId="77777777" w:rsidTr="00AF1FFE">
        <w:trPr>
          <w:trHeight w:val="567"/>
        </w:trPr>
        <w:tc>
          <w:tcPr>
            <w:tcW w:w="1680" w:type="dxa"/>
            <w:vAlign w:val="center"/>
            <w:hideMark/>
          </w:tcPr>
          <w:p w14:paraId="1E8153F4" w14:textId="77777777" w:rsidR="00E00994" w:rsidRPr="00E00994" w:rsidRDefault="00E00994" w:rsidP="00AF1FFE">
            <w:pPr>
              <w:spacing w:after="0"/>
              <w:jc w:val="center"/>
            </w:pPr>
            <w:r w:rsidRPr="00E00994">
              <w:t>2018</w:t>
            </w:r>
          </w:p>
        </w:tc>
        <w:tc>
          <w:tcPr>
            <w:tcW w:w="1605" w:type="dxa"/>
            <w:vAlign w:val="center"/>
            <w:hideMark/>
          </w:tcPr>
          <w:p w14:paraId="627E7E4C" w14:textId="77777777" w:rsidR="00E00994" w:rsidRPr="00E00994" w:rsidRDefault="00E00994" w:rsidP="00AF1FFE">
            <w:pPr>
              <w:spacing w:after="0"/>
              <w:jc w:val="center"/>
            </w:pPr>
            <w:r w:rsidRPr="00E00994">
              <w:t>260</w:t>
            </w:r>
          </w:p>
        </w:tc>
        <w:tc>
          <w:tcPr>
            <w:tcW w:w="1755" w:type="dxa"/>
            <w:vAlign w:val="center"/>
            <w:hideMark/>
          </w:tcPr>
          <w:p w14:paraId="29C00E77" w14:textId="77777777" w:rsidR="00E00994" w:rsidRPr="00E00994" w:rsidRDefault="00E00994" w:rsidP="00AF1FFE">
            <w:pPr>
              <w:spacing w:after="0"/>
              <w:jc w:val="center"/>
            </w:pPr>
            <w:r w:rsidRPr="00E00994">
              <w:t>679</w:t>
            </w:r>
          </w:p>
        </w:tc>
        <w:tc>
          <w:tcPr>
            <w:tcW w:w="1350" w:type="dxa"/>
            <w:vAlign w:val="center"/>
            <w:hideMark/>
          </w:tcPr>
          <w:p w14:paraId="47F7B170" w14:textId="77777777" w:rsidR="00E00994" w:rsidRPr="00E00994" w:rsidRDefault="00E00994" w:rsidP="00AF1FFE">
            <w:pPr>
              <w:spacing w:after="0"/>
              <w:jc w:val="center"/>
            </w:pPr>
            <w:r w:rsidRPr="00E00994">
              <w:t>609</w:t>
            </w:r>
          </w:p>
        </w:tc>
        <w:tc>
          <w:tcPr>
            <w:tcW w:w="1440" w:type="dxa"/>
            <w:vAlign w:val="center"/>
            <w:hideMark/>
          </w:tcPr>
          <w:p w14:paraId="045EF719" w14:textId="77777777" w:rsidR="00E00994" w:rsidRPr="00E00994" w:rsidRDefault="00E00994" w:rsidP="00AF1FFE">
            <w:pPr>
              <w:spacing w:after="0"/>
              <w:jc w:val="center"/>
            </w:pPr>
            <w:r w:rsidRPr="00E00994">
              <w:t>145</w:t>
            </w:r>
          </w:p>
        </w:tc>
        <w:tc>
          <w:tcPr>
            <w:tcW w:w="1245" w:type="dxa"/>
            <w:vAlign w:val="center"/>
            <w:hideMark/>
          </w:tcPr>
          <w:p w14:paraId="4A3A32A7" w14:textId="77777777" w:rsidR="00E00994" w:rsidRPr="00E00994" w:rsidRDefault="00E00994" w:rsidP="00AF1FFE">
            <w:pPr>
              <w:spacing w:after="0"/>
              <w:jc w:val="center"/>
            </w:pPr>
            <w:r w:rsidRPr="00E00994">
              <w:t>1 693</w:t>
            </w:r>
          </w:p>
        </w:tc>
      </w:tr>
      <w:tr w:rsidR="00E00994" w:rsidRPr="00E00994" w14:paraId="53761D9C" w14:textId="77777777" w:rsidTr="00AF1FFE">
        <w:trPr>
          <w:trHeight w:val="567"/>
        </w:trPr>
        <w:tc>
          <w:tcPr>
            <w:tcW w:w="1680" w:type="dxa"/>
            <w:vAlign w:val="center"/>
            <w:hideMark/>
          </w:tcPr>
          <w:p w14:paraId="248A05B8" w14:textId="77777777" w:rsidR="00E00994" w:rsidRPr="00E00994" w:rsidRDefault="00E00994" w:rsidP="00AF1FFE">
            <w:pPr>
              <w:spacing w:after="0"/>
              <w:jc w:val="center"/>
            </w:pPr>
            <w:r w:rsidRPr="00E00994">
              <w:lastRenderedPageBreak/>
              <w:t>2019</w:t>
            </w:r>
          </w:p>
        </w:tc>
        <w:tc>
          <w:tcPr>
            <w:tcW w:w="1605" w:type="dxa"/>
            <w:vAlign w:val="center"/>
            <w:hideMark/>
          </w:tcPr>
          <w:p w14:paraId="5E0A252E" w14:textId="77777777" w:rsidR="00E00994" w:rsidRPr="00E00994" w:rsidRDefault="00E00994" w:rsidP="00AF1FFE">
            <w:pPr>
              <w:spacing w:after="0"/>
              <w:jc w:val="center"/>
            </w:pPr>
            <w:r w:rsidRPr="00E00994">
              <w:t>247</w:t>
            </w:r>
          </w:p>
        </w:tc>
        <w:tc>
          <w:tcPr>
            <w:tcW w:w="1755" w:type="dxa"/>
            <w:vAlign w:val="center"/>
            <w:hideMark/>
          </w:tcPr>
          <w:p w14:paraId="46413E89" w14:textId="77777777" w:rsidR="00E00994" w:rsidRPr="00E00994" w:rsidRDefault="00E00994" w:rsidP="00AF1FFE">
            <w:pPr>
              <w:spacing w:after="0"/>
              <w:jc w:val="center"/>
            </w:pPr>
            <w:r w:rsidRPr="00E00994">
              <w:t>869</w:t>
            </w:r>
          </w:p>
        </w:tc>
        <w:tc>
          <w:tcPr>
            <w:tcW w:w="1350" w:type="dxa"/>
            <w:vAlign w:val="center"/>
            <w:hideMark/>
          </w:tcPr>
          <w:p w14:paraId="5008EC07" w14:textId="77777777" w:rsidR="00E00994" w:rsidRPr="00E00994" w:rsidRDefault="00E00994" w:rsidP="00AF1FFE">
            <w:pPr>
              <w:spacing w:after="0"/>
              <w:jc w:val="center"/>
            </w:pPr>
            <w:r w:rsidRPr="00E00994">
              <w:t>626</w:t>
            </w:r>
          </w:p>
        </w:tc>
        <w:tc>
          <w:tcPr>
            <w:tcW w:w="1440" w:type="dxa"/>
            <w:vAlign w:val="center"/>
            <w:hideMark/>
          </w:tcPr>
          <w:p w14:paraId="0153B5B8" w14:textId="77777777" w:rsidR="00E00994" w:rsidRPr="00E00994" w:rsidRDefault="00E00994" w:rsidP="00AF1FFE">
            <w:pPr>
              <w:spacing w:after="0"/>
              <w:jc w:val="center"/>
            </w:pPr>
            <w:r w:rsidRPr="00E00994">
              <w:t>157</w:t>
            </w:r>
          </w:p>
        </w:tc>
        <w:tc>
          <w:tcPr>
            <w:tcW w:w="1245" w:type="dxa"/>
            <w:vAlign w:val="center"/>
            <w:hideMark/>
          </w:tcPr>
          <w:p w14:paraId="036EF9E9" w14:textId="77777777" w:rsidR="00E00994" w:rsidRPr="00E00994" w:rsidRDefault="00E00994" w:rsidP="00AF1FFE">
            <w:pPr>
              <w:spacing w:after="0"/>
              <w:jc w:val="center"/>
            </w:pPr>
            <w:r w:rsidRPr="00E00994">
              <w:t>1 898</w:t>
            </w:r>
          </w:p>
        </w:tc>
      </w:tr>
      <w:tr w:rsidR="00E00994" w:rsidRPr="00E00994" w14:paraId="0819992A" w14:textId="77777777" w:rsidTr="00AF1FFE">
        <w:trPr>
          <w:trHeight w:val="1134"/>
        </w:trPr>
        <w:tc>
          <w:tcPr>
            <w:tcW w:w="1680" w:type="dxa"/>
            <w:vAlign w:val="center"/>
            <w:hideMark/>
          </w:tcPr>
          <w:p w14:paraId="755AD752" w14:textId="77777777" w:rsidR="00E00994" w:rsidRPr="00E00994" w:rsidRDefault="00E00994" w:rsidP="00AF1FFE">
            <w:pPr>
              <w:spacing w:after="0"/>
              <w:jc w:val="center"/>
            </w:pPr>
            <w:r w:rsidRPr="00E00994">
              <w:t>Croissance annuelle (moyenne)</w:t>
            </w:r>
            <w:r w:rsidRPr="00E00994">
              <w:br/>
              <w:t>2010-2014</w:t>
            </w:r>
          </w:p>
        </w:tc>
        <w:tc>
          <w:tcPr>
            <w:tcW w:w="1605" w:type="dxa"/>
            <w:vAlign w:val="center"/>
            <w:hideMark/>
          </w:tcPr>
          <w:p w14:paraId="39036A16" w14:textId="77777777" w:rsidR="00E00994" w:rsidRPr="00E00994" w:rsidRDefault="00E00994" w:rsidP="00AF1FFE">
            <w:pPr>
              <w:spacing w:after="0"/>
              <w:jc w:val="center"/>
            </w:pPr>
            <w:r w:rsidRPr="00E00994">
              <w:t>+ 0 %</w:t>
            </w:r>
          </w:p>
        </w:tc>
        <w:tc>
          <w:tcPr>
            <w:tcW w:w="1755" w:type="dxa"/>
            <w:vAlign w:val="center"/>
            <w:hideMark/>
          </w:tcPr>
          <w:p w14:paraId="5309AD3A" w14:textId="77777777" w:rsidR="00E00994" w:rsidRPr="00E00994" w:rsidRDefault="00E00994" w:rsidP="00AF1FFE">
            <w:pPr>
              <w:spacing w:after="0"/>
              <w:jc w:val="center"/>
            </w:pPr>
            <w:r w:rsidRPr="00E00994">
              <w:t>13 %</w:t>
            </w:r>
          </w:p>
        </w:tc>
        <w:tc>
          <w:tcPr>
            <w:tcW w:w="1350" w:type="dxa"/>
            <w:vAlign w:val="center"/>
            <w:hideMark/>
          </w:tcPr>
          <w:p w14:paraId="35475EBE" w14:textId="77777777" w:rsidR="00E00994" w:rsidRPr="00E00994" w:rsidRDefault="00E00994" w:rsidP="00AF1FFE">
            <w:pPr>
              <w:spacing w:after="0"/>
              <w:jc w:val="center"/>
            </w:pPr>
            <w:r w:rsidRPr="00E00994">
              <w:t>7 %</w:t>
            </w:r>
          </w:p>
        </w:tc>
        <w:tc>
          <w:tcPr>
            <w:tcW w:w="1440" w:type="dxa"/>
            <w:vAlign w:val="center"/>
            <w:hideMark/>
          </w:tcPr>
          <w:p w14:paraId="0E0A5C3E" w14:textId="77777777" w:rsidR="00E00994" w:rsidRPr="00E00994" w:rsidRDefault="00E00994" w:rsidP="00AF1FFE">
            <w:pPr>
              <w:spacing w:after="0"/>
              <w:jc w:val="center"/>
            </w:pPr>
            <w:r w:rsidRPr="00E00994">
              <w:t>4 %</w:t>
            </w:r>
          </w:p>
        </w:tc>
        <w:tc>
          <w:tcPr>
            <w:tcW w:w="1245" w:type="dxa"/>
            <w:vAlign w:val="center"/>
            <w:hideMark/>
          </w:tcPr>
          <w:p w14:paraId="3E81795C" w14:textId="77777777" w:rsidR="00E00994" w:rsidRPr="00E00994" w:rsidRDefault="00E00994" w:rsidP="00AF1FFE">
            <w:pPr>
              <w:spacing w:after="0"/>
              <w:jc w:val="center"/>
            </w:pPr>
            <w:r w:rsidRPr="00E00994">
              <w:t>Ø</w:t>
            </w:r>
          </w:p>
        </w:tc>
      </w:tr>
      <w:tr w:rsidR="00E00994" w:rsidRPr="00E00994" w14:paraId="4B4272FB" w14:textId="77777777" w:rsidTr="00AF1FFE">
        <w:trPr>
          <w:trHeight w:val="1134"/>
        </w:trPr>
        <w:tc>
          <w:tcPr>
            <w:tcW w:w="1680" w:type="dxa"/>
            <w:vAlign w:val="center"/>
            <w:hideMark/>
          </w:tcPr>
          <w:p w14:paraId="59159275" w14:textId="77777777" w:rsidR="00E00994" w:rsidRPr="00E00994" w:rsidRDefault="00E00994" w:rsidP="00AF1FFE">
            <w:pPr>
              <w:spacing w:after="0"/>
              <w:jc w:val="center"/>
            </w:pPr>
            <w:r w:rsidRPr="00E00994">
              <w:t>Croissance annuelle</w:t>
            </w:r>
            <w:r w:rsidRPr="00E00994">
              <w:br/>
              <w:t>2014-2018</w:t>
            </w:r>
          </w:p>
        </w:tc>
        <w:tc>
          <w:tcPr>
            <w:tcW w:w="1605" w:type="dxa"/>
            <w:vAlign w:val="center"/>
            <w:hideMark/>
          </w:tcPr>
          <w:p w14:paraId="2BA0872B" w14:textId="77777777" w:rsidR="00E00994" w:rsidRPr="00E00994" w:rsidRDefault="00E00994" w:rsidP="00AF1FFE">
            <w:pPr>
              <w:spacing w:after="0"/>
              <w:jc w:val="center"/>
            </w:pPr>
            <w:r w:rsidRPr="00E00994">
              <w:t>- 5 %</w:t>
            </w:r>
          </w:p>
        </w:tc>
        <w:tc>
          <w:tcPr>
            <w:tcW w:w="1755" w:type="dxa"/>
            <w:vAlign w:val="center"/>
            <w:hideMark/>
          </w:tcPr>
          <w:p w14:paraId="486E4F57" w14:textId="77777777" w:rsidR="00E00994" w:rsidRPr="00E00994" w:rsidRDefault="00E00994" w:rsidP="00AF1FFE">
            <w:pPr>
              <w:spacing w:after="0"/>
              <w:jc w:val="center"/>
            </w:pPr>
            <w:r w:rsidRPr="00E00994">
              <w:t>5 %</w:t>
            </w:r>
          </w:p>
        </w:tc>
        <w:tc>
          <w:tcPr>
            <w:tcW w:w="1350" w:type="dxa"/>
            <w:vAlign w:val="center"/>
            <w:hideMark/>
          </w:tcPr>
          <w:p w14:paraId="4AE6AAD3" w14:textId="77777777" w:rsidR="00E00994" w:rsidRPr="00E00994" w:rsidRDefault="00E00994" w:rsidP="00AF1FFE">
            <w:pPr>
              <w:spacing w:after="0"/>
              <w:jc w:val="center"/>
            </w:pPr>
            <w:r w:rsidRPr="00E00994">
              <w:t>2 %</w:t>
            </w:r>
          </w:p>
        </w:tc>
        <w:tc>
          <w:tcPr>
            <w:tcW w:w="1440" w:type="dxa"/>
            <w:vAlign w:val="center"/>
            <w:hideMark/>
          </w:tcPr>
          <w:p w14:paraId="0E3441EA" w14:textId="77777777" w:rsidR="00E00994" w:rsidRPr="00E00994" w:rsidRDefault="00E00994" w:rsidP="00AF1FFE">
            <w:pPr>
              <w:spacing w:after="0"/>
              <w:jc w:val="center"/>
            </w:pPr>
            <w:r w:rsidRPr="00E00994">
              <w:t>- 1 %</w:t>
            </w:r>
          </w:p>
        </w:tc>
        <w:tc>
          <w:tcPr>
            <w:tcW w:w="1245" w:type="dxa"/>
            <w:vAlign w:val="center"/>
            <w:hideMark/>
          </w:tcPr>
          <w:p w14:paraId="05D158A5" w14:textId="77777777" w:rsidR="00E00994" w:rsidRPr="00E00994" w:rsidRDefault="00E00994" w:rsidP="00AF1FFE">
            <w:pPr>
              <w:spacing w:after="0"/>
              <w:jc w:val="center"/>
            </w:pPr>
            <w:r w:rsidRPr="00E00994">
              <w:t>Ø</w:t>
            </w:r>
          </w:p>
        </w:tc>
      </w:tr>
    </w:tbl>
    <w:p w14:paraId="2B740B19" w14:textId="40E2963D" w:rsidR="0050392D" w:rsidRDefault="00E00994" w:rsidP="00AF1FFE">
      <w:pPr>
        <w:spacing w:before="120"/>
        <w:rPr>
          <w:color w:val="595959" w:themeColor="text1" w:themeTint="A6"/>
          <w:sz w:val="18"/>
          <w:szCs w:val="18"/>
        </w:rPr>
      </w:pPr>
      <w:r w:rsidRPr="0050392D">
        <w:rPr>
          <w:color w:val="595959" w:themeColor="text1" w:themeTint="A6"/>
          <w:sz w:val="18"/>
          <w:szCs w:val="18"/>
        </w:rPr>
        <w:t xml:space="preserve">Source : Thomson Reuters </w:t>
      </w:r>
      <w:proofErr w:type="spellStart"/>
      <w:r w:rsidRPr="0050392D">
        <w:rPr>
          <w:color w:val="595959" w:themeColor="text1" w:themeTint="A6"/>
          <w:sz w:val="18"/>
          <w:szCs w:val="18"/>
        </w:rPr>
        <w:t>Eikon</w:t>
      </w:r>
      <w:proofErr w:type="spellEnd"/>
      <w:r w:rsidRPr="0050392D">
        <w:rPr>
          <w:color w:val="595959" w:themeColor="text1" w:themeTint="A6"/>
          <w:sz w:val="18"/>
          <w:szCs w:val="18"/>
        </w:rPr>
        <w:t>, analyse Arthur D. Little.</w:t>
      </w:r>
      <w:r w:rsidR="001139F3" w:rsidRPr="0050392D">
        <w:rPr>
          <w:color w:val="595959" w:themeColor="text1" w:themeTint="A6"/>
          <w:sz w:val="18"/>
          <w:szCs w:val="18"/>
        </w:rPr>
        <w:t xml:space="preserve"> </w:t>
      </w:r>
      <w:r w:rsidRPr="0050392D">
        <w:rPr>
          <w:color w:val="595959" w:themeColor="text1" w:themeTint="A6"/>
          <w:sz w:val="18"/>
          <w:szCs w:val="18"/>
        </w:rPr>
        <w:t>(1) Nationalité selon la localisation du siège social.</w:t>
      </w:r>
      <w:r w:rsidR="001139F3" w:rsidRPr="0050392D">
        <w:rPr>
          <w:color w:val="595959" w:themeColor="text1" w:themeTint="A6"/>
          <w:sz w:val="18"/>
          <w:szCs w:val="18"/>
        </w:rPr>
        <w:t xml:space="preserve"> </w:t>
      </w:r>
      <w:r w:rsidRPr="0050392D">
        <w:rPr>
          <w:color w:val="595959" w:themeColor="text1" w:themeTint="A6"/>
          <w:sz w:val="18"/>
          <w:szCs w:val="18"/>
        </w:rPr>
        <w:t>(2) Panel de 180 entreprises : par secteur, sélection par leur Chiffre d’affaires des entreprises du top 30 en 2019.</w:t>
      </w:r>
      <w:r w:rsidR="001139F3" w:rsidRPr="0050392D">
        <w:rPr>
          <w:color w:val="595959" w:themeColor="text1" w:themeTint="A6"/>
          <w:sz w:val="18"/>
          <w:szCs w:val="18"/>
        </w:rPr>
        <w:t xml:space="preserve"> </w:t>
      </w:r>
      <w:r w:rsidRPr="0050392D">
        <w:rPr>
          <w:color w:val="595959" w:themeColor="text1" w:themeTint="A6"/>
          <w:sz w:val="18"/>
          <w:szCs w:val="18"/>
        </w:rPr>
        <w:t>(3) Euros constants 2019.</w:t>
      </w:r>
      <w:r w:rsidR="001139F3" w:rsidRPr="0050392D">
        <w:rPr>
          <w:color w:val="595959" w:themeColor="text1" w:themeTint="A6"/>
          <w:sz w:val="18"/>
          <w:szCs w:val="18"/>
        </w:rPr>
        <w:t xml:space="preserve"> </w:t>
      </w:r>
      <w:r w:rsidRPr="0050392D">
        <w:rPr>
          <w:color w:val="595959" w:themeColor="text1" w:themeTint="A6"/>
          <w:sz w:val="18"/>
          <w:szCs w:val="18"/>
        </w:rPr>
        <w:t>(4) Inclus les acteurs des top 30 hors Asie, Amérique du Nord et Europe (uniquement Océanie, Moyen-Orient, Afrique et Amérique du Sud).</w:t>
      </w:r>
    </w:p>
    <w:p w14:paraId="4FAA6692" w14:textId="77777777" w:rsidR="0050392D" w:rsidRDefault="0050392D">
      <w:pPr>
        <w:rPr>
          <w:color w:val="595959" w:themeColor="text1" w:themeTint="A6"/>
          <w:sz w:val="18"/>
          <w:szCs w:val="18"/>
        </w:rPr>
      </w:pPr>
      <w:r>
        <w:rPr>
          <w:color w:val="595959" w:themeColor="text1" w:themeTint="A6"/>
          <w:sz w:val="18"/>
          <w:szCs w:val="18"/>
        </w:rPr>
        <w:br w:type="page"/>
      </w:r>
    </w:p>
    <w:p w14:paraId="1DDA8365" w14:textId="43BB6910" w:rsidR="00E00994" w:rsidRPr="00E00994" w:rsidRDefault="00E00994" w:rsidP="001139F3">
      <w:pPr>
        <w:pStyle w:val="Titre1"/>
      </w:pPr>
      <w:r w:rsidRPr="00E00994">
        <w:lastRenderedPageBreak/>
        <w:t>Les télécoms et l'environnement</w:t>
      </w:r>
    </w:p>
    <w:p w14:paraId="62EF6DD7" w14:textId="77777777" w:rsidR="00E00994" w:rsidRPr="00E00994" w:rsidRDefault="00E00994" w:rsidP="001139F3">
      <w:pPr>
        <w:pStyle w:val="Titre2"/>
      </w:pPr>
      <w:r w:rsidRPr="00E00994">
        <w:t>Un impact environnemental maîtrisé des réseaux télécoms</w:t>
      </w:r>
    </w:p>
    <w:p w14:paraId="699F2DE5" w14:textId="77777777" w:rsidR="00633AF2" w:rsidRDefault="00E00994" w:rsidP="00633AF2">
      <w:pPr>
        <w:pStyle w:val="Titre3"/>
      </w:pPr>
      <w:r w:rsidRPr="00E00994">
        <w:t>Émissions de GES</w:t>
      </w:r>
      <w:r w:rsidRPr="00E00994">
        <w:rPr>
          <w:vertAlign w:val="superscript"/>
        </w:rPr>
        <w:t>1</w:t>
      </w:r>
      <w:r w:rsidRPr="00E00994">
        <w:t xml:space="preserve"> des opérateurs français et trafic Internet</w:t>
      </w:r>
    </w:p>
    <w:p w14:paraId="6E43C743" w14:textId="6795670C" w:rsidR="00E00994" w:rsidRPr="00E00994" w:rsidRDefault="00E00994" w:rsidP="00E00994">
      <w:r w:rsidRPr="00E00994">
        <w:t>Émissions liées aux réseaux télécoms (hors émissions liées aux contenus Internet et aux terminaux)</w:t>
      </w:r>
      <w:r w:rsidR="001139F3">
        <w:t xml:space="preserve"> | </w:t>
      </w:r>
      <w:r w:rsidRPr="00E00994">
        <w:t>Les gaz à effet de serre (GES) des réseaux des opérateurs représentent 0,4 % des émissions de GES totales en France.</w:t>
      </w:r>
    </w:p>
    <w:p w14:paraId="67E43555" w14:textId="4D9F14A9" w:rsidR="00E00994" w:rsidRPr="0050392D" w:rsidRDefault="00E00994" w:rsidP="00E00994">
      <w:pPr>
        <w:rPr>
          <w:color w:val="595959" w:themeColor="text1" w:themeTint="A6"/>
          <w:sz w:val="18"/>
          <w:szCs w:val="18"/>
        </w:rPr>
      </w:pPr>
      <w:r w:rsidRPr="0050392D">
        <w:rPr>
          <w:color w:val="595959" w:themeColor="text1" w:themeTint="A6"/>
          <w:sz w:val="18"/>
          <w:szCs w:val="18"/>
        </w:rPr>
        <w:t>Source : Observatoire T2 2020 de l’Arcep, Arcep Note n° 5 « L’empreinte carbone du numérique » : Cisco VNI, analyse Arthur D. Little.</w:t>
      </w:r>
      <w:r w:rsidR="001139F3" w:rsidRPr="0050392D">
        <w:rPr>
          <w:color w:val="595959" w:themeColor="text1" w:themeTint="A6"/>
          <w:sz w:val="18"/>
          <w:szCs w:val="18"/>
        </w:rPr>
        <w:t xml:space="preserve"> </w:t>
      </w:r>
      <w:r w:rsidRPr="0050392D">
        <w:rPr>
          <w:color w:val="595959" w:themeColor="text1" w:themeTint="A6"/>
          <w:sz w:val="18"/>
          <w:szCs w:val="18"/>
        </w:rPr>
        <w:t xml:space="preserve">(1) GES : gaz à effet de serre (dioxyde de carbone CO2, méthane CH4, oxyde nitreux N2O, hexafluorure de soufre SF6, </w:t>
      </w:r>
      <w:proofErr w:type="spellStart"/>
      <w:r w:rsidRPr="0050392D">
        <w:rPr>
          <w:color w:val="595959" w:themeColor="text1" w:themeTint="A6"/>
          <w:sz w:val="18"/>
          <w:szCs w:val="18"/>
        </w:rPr>
        <w:t>hydrofluocarbures</w:t>
      </w:r>
      <w:proofErr w:type="spellEnd"/>
      <w:r w:rsidRPr="0050392D">
        <w:rPr>
          <w:color w:val="595959" w:themeColor="text1" w:themeTint="A6"/>
          <w:sz w:val="18"/>
          <w:szCs w:val="18"/>
        </w:rPr>
        <w:t xml:space="preserve"> (HFC) et </w:t>
      </w:r>
      <w:proofErr w:type="spellStart"/>
      <w:r w:rsidRPr="0050392D">
        <w:rPr>
          <w:color w:val="595959" w:themeColor="text1" w:themeTint="A6"/>
          <w:sz w:val="18"/>
          <w:szCs w:val="18"/>
        </w:rPr>
        <w:t>perfluocarbures</w:t>
      </w:r>
      <w:proofErr w:type="spellEnd"/>
      <w:r w:rsidRPr="0050392D">
        <w:rPr>
          <w:color w:val="595959" w:themeColor="text1" w:themeTint="A6"/>
          <w:sz w:val="18"/>
          <w:szCs w:val="18"/>
        </w:rPr>
        <w:t xml:space="preserve"> (PFC)).</w:t>
      </w:r>
      <w:r w:rsidR="001139F3" w:rsidRPr="0050392D">
        <w:rPr>
          <w:color w:val="595959" w:themeColor="text1" w:themeTint="A6"/>
          <w:sz w:val="18"/>
          <w:szCs w:val="18"/>
        </w:rPr>
        <w:t xml:space="preserve"> </w:t>
      </w:r>
      <w:r w:rsidRPr="0050392D">
        <w:rPr>
          <w:color w:val="595959" w:themeColor="text1" w:themeTint="A6"/>
          <w:sz w:val="18"/>
          <w:szCs w:val="18"/>
        </w:rPr>
        <w:t>(2) Estimation de trafic fixe selon les données de CISCO VNI et extrapolation de la tendance 2015-2017 sur 2018 et 2019 ; Trafic Internet mobile selon les données de l’Arcep ; Estimation des émissions GES des opérateurs selon l’Arcep et des données RSE opérateurs pour 2018 et 2019.</w:t>
      </w:r>
      <w:r w:rsidR="001139F3" w:rsidRPr="0050392D">
        <w:rPr>
          <w:color w:val="595959" w:themeColor="text1" w:themeTint="A6"/>
          <w:sz w:val="18"/>
          <w:szCs w:val="18"/>
        </w:rPr>
        <w:t xml:space="preserve"> </w:t>
      </w:r>
      <w:r w:rsidRPr="0050392D">
        <w:rPr>
          <w:color w:val="595959" w:themeColor="text1" w:themeTint="A6"/>
          <w:sz w:val="18"/>
          <w:szCs w:val="18"/>
        </w:rPr>
        <w:t>(3)</w:t>
      </w:r>
      <w:r w:rsidR="00633AF2" w:rsidRPr="0050392D">
        <w:rPr>
          <w:color w:val="595959" w:themeColor="text1" w:themeTint="A6"/>
          <w:sz w:val="18"/>
          <w:szCs w:val="18"/>
        </w:rPr>
        <w:t xml:space="preserve"> </w:t>
      </w:r>
      <w:r w:rsidRPr="0050392D">
        <w:rPr>
          <w:color w:val="595959" w:themeColor="text1" w:themeTint="A6"/>
          <w:sz w:val="18"/>
          <w:szCs w:val="18"/>
        </w:rPr>
        <w:t>D’après les émissions directes en GES déclarées par les quatre opérateurs télécoms nationaux français.</w:t>
      </w:r>
    </w:p>
    <w:p w14:paraId="755219AD" w14:textId="4E9EAD41" w:rsidR="00633AF2" w:rsidRDefault="00E00994" w:rsidP="00633AF2">
      <w:pPr>
        <w:pStyle w:val="Titre3"/>
      </w:pPr>
      <w:r w:rsidRPr="00E00994">
        <w:t>Évolution de l’efficacité énergétique par secteur.</w:t>
      </w:r>
    </w:p>
    <w:p w14:paraId="5BB2753A" w14:textId="4976796A" w:rsidR="00E00994" w:rsidRDefault="00E00994" w:rsidP="00E00994">
      <w:r w:rsidRPr="00E00994">
        <w:t>France, base 100, 2015 – 2025E</w:t>
      </w:r>
      <w:r w:rsidRPr="00E00994">
        <w:rPr>
          <w:vertAlign w:val="superscript"/>
        </w:rPr>
        <w:t>1</w:t>
      </w:r>
      <w:r w:rsidR="00633AF2">
        <w:t xml:space="preserve"> | L</w:t>
      </w:r>
      <w:r w:rsidRPr="00E00994">
        <w:t>es réseaux télécoms absorbent 0,8 % de la consommation d’électricité en France en 2020.</w:t>
      </w:r>
    </w:p>
    <w:p w14:paraId="2C042788" w14:textId="0EBDBCDA" w:rsidR="00426322" w:rsidRDefault="00426322" w:rsidP="00426322">
      <w:pPr>
        <w:pStyle w:val="Paragraphedeliste"/>
        <w:numPr>
          <w:ilvl w:val="0"/>
          <w:numId w:val="13"/>
        </w:numPr>
      </w:pPr>
      <w:r>
        <w:t xml:space="preserve">Voiture en </w:t>
      </w:r>
      <w:r w:rsidR="0019783E">
        <w:t xml:space="preserve">litre par </w:t>
      </w:r>
      <w:r>
        <w:t>100 km</w:t>
      </w:r>
      <w:r w:rsidR="0019783E">
        <w:t xml:space="preserve">. </w:t>
      </w:r>
      <w:r>
        <w:t>Réduction de 2 % entre 2015 et 2020² ;</w:t>
      </w:r>
    </w:p>
    <w:p w14:paraId="4465AC1E" w14:textId="5D4767DC" w:rsidR="00426322" w:rsidRDefault="00426322" w:rsidP="00633AF2">
      <w:pPr>
        <w:pStyle w:val="Paragraphedeliste"/>
        <w:numPr>
          <w:ilvl w:val="0"/>
          <w:numId w:val="13"/>
        </w:numPr>
      </w:pPr>
      <w:r>
        <w:t xml:space="preserve">Aérien en </w:t>
      </w:r>
      <w:r w:rsidR="0019783E">
        <w:t xml:space="preserve">litre de </w:t>
      </w:r>
      <w:r w:rsidR="00142DDC">
        <w:t>k</w:t>
      </w:r>
      <w:r>
        <w:t xml:space="preserve">érosène </w:t>
      </w:r>
      <w:r w:rsidR="0019783E">
        <w:t>par</w:t>
      </w:r>
      <w:r>
        <w:t xml:space="preserve"> </w:t>
      </w:r>
      <w:r w:rsidR="0019783E">
        <w:t>p</w:t>
      </w:r>
      <w:r>
        <w:t xml:space="preserve">assager </w:t>
      </w:r>
      <w:r w:rsidR="00397832">
        <w:t xml:space="preserve">/ </w:t>
      </w:r>
      <w:r>
        <w:t>100 km</w:t>
      </w:r>
      <w:r w:rsidR="00397832">
        <w:t>.</w:t>
      </w:r>
      <w:r>
        <w:t xml:space="preserve"> Réduction de 6 % entre 2015 et 2020</w:t>
      </w:r>
      <w:r w:rsidRPr="00426322">
        <w:rPr>
          <w:vertAlign w:val="superscript"/>
        </w:rPr>
        <w:t>4</w:t>
      </w:r>
      <w:r>
        <w:t> ;</w:t>
      </w:r>
    </w:p>
    <w:p w14:paraId="73E5596C" w14:textId="20ED73A6" w:rsidR="00426322" w:rsidRDefault="007B4E1B" w:rsidP="00633AF2">
      <w:pPr>
        <w:pStyle w:val="Paragraphedeliste"/>
        <w:numPr>
          <w:ilvl w:val="0"/>
          <w:numId w:val="13"/>
        </w:numPr>
      </w:pPr>
      <w:r>
        <w:t xml:space="preserve">Fret routier en L </w:t>
      </w:r>
      <w:r w:rsidR="00426322">
        <w:t>/ Tonne / 100 km Réduction de 7 % entre 2015 et 2020³ ;</w:t>
      </w:r>
    </w:p>
    <w:p w14:paraId="558C8F5D" w14:textId="25282BA6" w:rsidR="00426322" w:rsidRDefault="007B4E1B" w:rsidP="00633AF2">
      <w:pPr>
        <w:pStyle w:val="Paragraphedeliste"/>
        <w:numPr>
          <w:ilvl w:val="0"/>
          <w:numId w:val="13"/>
        </w:numPr>
      </w:pPr>
      <w:r>
        <w:t>Réseaux fixes en kWh/Go divisé par 3 entre 2015 et 2020 ;</w:t>
      </w:r>
    </w:p>
    <w:p w14:paraId="111F3BA0" w14:textId="0241F2AD" w:rsidR="007B4E1B" w:rsidRDefault="007B4E1B" w:rsidP="00633AF2">
      <w:pPr>
        <w:pStyle w:val="Paragraphedeliste"/>
        <w:numPr>
          <w:ilvl w:val="0"/>
          <w:numId w:val="13"/>
        </w:numPr>
      </w:pPr>
      <w:r>
        <w:t>Réseaux mobiles en kWh/Go divisé par 7 entre 2015 et 2020.</w:t>
      </w:r>
    </w:p>
    <w:p w14:paraId="32F50BB9" w14:textId="11F98916" w:rsidR="00E00994" w:rsidRPr="0050392D" w:rsidRDefault="00E00994" w:rsidP="00E00994">
      <w:pPr>
        <w:rPr>
          <w:color w:val="595959" w:themeColor="text1" w:themeTint="A6"/>
          <w:sz w:val="18"/>
          <w:szCs w:val="18"/>
        </w:rPr>
      </w:pPr>
      <w:r w:rsidRPr="0050392D">
        <w:rPr>
          <w:color w:val="595959" w:themeColor="text1" w:themeTint="A6"/>
          <w:sz w:val="18"/>
          <w:szCs w:val="18"/>
        </w:rPr>
        <w:t xml:space="preserve">Source : Rapport 2019 du Comité des constructeurs français d’automobiles, Baromètre </w:t>
      </w:r>
      <w:proofErr w:type="spellStart"/>
      <w:r w:rsidRPr="0050392D">
        <w:rPr>
          <w:color w:val="595959" w:themeColor="text1" w:themeTint="A6"/>
          <w:sz w:val="18"/>
          <w:szCs w:val="18"/>
        </w:rPr>
        <w:t>Observatair</w:t>
      </w:r>
      <w:proofErr w:type="spellEnd"/>
      <w:r w:rsidRPr="0050392D">
        <w:rPr>
          <w:color w:val="595959" w:themeColor="text1" w:themeTint="A6"/>
          <w:sz w:val="18"/>
          <w:szCs w:val="18"/>
        </w:rPr>
        <w:t xml:space="preserve"> 2019 de la FNAM, analyse Arthur D. Little.</w:t>
      </w:r>
      <w:r w:rsidR="00633AF2" w:rsidRPr="0050392D">
        <w:rPr>
          <w:color w:val="595959" w:themeColor="text1" w:themeTint="A6"/>
          <w:sz w:val="18"/>
          <w:szCs w:val="18"/>
        </w:rPr>
        <w:t xml:space="preserve"> </w:t>
      </w:r>
      <w:r w:rsidRPr="0050392D">
        <w:rPr>
          <w:color w:val="595959" w:themeColor="text1" w:themeTint="A6"/>
          <w:sz w:val="18"/>
          <w:szCs w:val="18"/>
        </w:rPr>
        <w:t>(1) Estimation sur 2020-2030 en projetant, de façon linéaire, la tendance 2015-2020 sur 2020-2025.</w:t>
      </w:r>
      <w:r w:rsidR="00633AF2" w:rsidRPr="0050392D">
        <w:rPr>
          <w:color w:val="595959" w:themeColor="text1" w:themeTint="A6"/>
          <w:sz w:val="18"/>
          <w:szCs w:val="18"/>
        </w:rPr>
        <w:t xml:space="preserve"> </w:t>
      </w:r>
      <w:r w:rsidRPr="0050392D">
        <w:rPr>
          <w:color w:val="595959" w:themeColor="text1" w:themeTint="A6"/>
          <w:sz w:val="18"/>
          <w:szCs w:val="18"/>
        </w:rPr>
        <w:t xml:space="preserve">(2) D’après CCFA : 6,5 </w:t>
      </w:r>
      <w:r w:rsidR="00142DDC">
        <w:rPr>
          <w:color w:val="595959" w:themeColor="text1" w:themeTint="A6"/>
          <w:sz w:val="18"/>
          <w:szCs w:val="18"/>
        </w:rPr>
        <w:t xml:space="preserve">litres </w:t>
      </w:r>
      <w:r w:rsidRPr="0050392D">
        <w:rPr>
          <w:color w:val="595959" w:themeColor="text1" w:themeTint="A6"/>
          <w:sz w:val="18"/>
          <w:szCs w:val="18"/>
        </w:rPr>
        <w:t>/</w:t>
      </w:r>
      <w:r w:rsidR="00142DDC">
        <w:rPr>
          <w:color w:val="595959" w:themeColor="text1" w:themeTint="A6"/>
          <w:sz w:val="18"/>
          <w:szCs w:val="18"/>
        </w:rPr>
        <w:t xml:space="preserve"> </w:t>
      </w:r>
      <w:r w:rsidRPr="0050392D">
        <w:rPr>
          <w:color w:val="595959" w:themeColor="text1" w:themeTint="A6"/>
          <w:sz w:val="18"/>
          <w:szCs w:val="18"/>
        </w:rPr>
        <w:t>100 km en 2019 v</w:t>
      </w:r>
      <w:r w:rsidR="00142DDC">
        <w:rPr>
          <w:color w:val="595959" w:themeColor="text1" w:themeTint="A6"/>
          <w:sz w:val="18"/>
          <w:szCs w:val="18"/>
        </w:rPr>
        <w:t>ersus</w:t>
      </w:r>
      <w:r w:rsidRPr="0050392D">
        <w:rPr>
          <w:color w:val="595959" w:themeColor="text1" w:themeTint="A6"/>
          <w:sz w:val="18"/>
          <w:szCs w:val="18"/>
        </w:rPr>
        <w:t xml:space="preserve"> 6,6 </w:t>
      </w:r>
      <w:r w:rsidR="00142DDC">
        <w:rPr>
          <w:color w:val="595959" w:themeColor="text1" w:themeTint="A6"/>
          <w:sz w:val="18"/>
          <w:szCs w:val="18"/>
        </w:rPr>
        <w:t xml:space="preserve">litres </w:t>
      </w:r>
      <w:r w:rsidRPr="0050392D">
        <w:rPr>
          <w:color w:val="595959" w:themeColor="text1" w:themeTint="A6"/>
          <w:sz w:val="18"/>
          <w:szCs w:val="18"/>
        </w:rPr>
        <w:t>/</w:t>
      </w:r>
      <w:r w:rsidR="00142DDC">
        <w:rPr>
          <w:color w:val="595959" w:themeColor="text1" w:themeTint="A6"/>
          <w:sz w:val="18"/>
          <w:szCs w:val="18"/>
        </w:rPr>
        <w:t xml:space="preserve"> </w:t>
      </w:r>
      <w:r w:rsidRPr="0050392D">
        <w:rPr>
          <w:color w:val="595959" w:themeColor="text1" w:themeTint="A6"/>
          <w:sz w:val="18"/>
          <w:szCs w:val="18"/>
        </w:rPr>
        <w:t>100 km en 2014 (voitures particulières, tout type de carburant).</w:t>
      </w:r>
      <w:r w:rsidR="00633AF2" w:rsidRPr="0050392D">
        <w:rPr>
          <w:color w:val="595959" w:themeColor="text1" w:themeTint="A6"/>
          <w:sz w:val="18"/>
          <w:szCs w:val="18"/>
        </w:rPr>
        <w:t xml:space="preserve"> </w:t>
      </w:r>
      <w:r w:rsidRPr="0050392D">
        <w:rPr>
          <w:color w:val="595959" w:themeColor="text1" w:themeTint="A6"/>
          <w:sz w:val="18"/>
          <w:szCs w:val="18"/>
        </w:rPr>
        <w:t>(3) D’après CCFA : estimations à partir des données de consommation / 100 km par poids lourd et de la charge moyenne par poids lourd.</w:t>
      </w:r>
      <w:r w:rsidR="00633AF2" w:rsidRPr="0050392D">
        <w:rPr>
          <w:color w:val="595959" w:themeColor="text1" w:themeTint="A6"/>
          <w:sz w:val="18"/>
          <w:szCs w:val="18"/>
        </w:rPr>
        <w:t xml:space="preserve"> </w:t>
      </w:r>
      <w:r w:rsidRPr="0050392D">
        <w:rPr>
          <w:color w:val="595959" w:themeColor="text1" w:themeTint="A6"/>
          <w:sz w:val="18"/>
          <w:szCs w:val="18"/>
        </w:rPr>
        <w:t xml:space="preserve">(4) d’après </w:t>
      </w:r>
      <w:proofErr w:type="spellStart"/>
      <w:r w:rsidRPr="0050392D">
        <w:rPr>
          <w:color w:val="595959" w:themeColor="text1" w:themeTint="A6"/>
          <w:sz w:val="18"/>
          <w:szCs w:val="18"/>
        </w:rPr>
        <w:t>Observatair</w:t>
      </w:r>
      <w:proofErr w:type="spellEnd"/>
      <w:r w:rsidRPr="0050392D">
        <w:rPr>
          <w:color w:val="595959" w:themeColor="text1" w:themeTint="A6"/>
          <w:sz w:val="18"/>
          <w:szCs w:val="18"/>
        </w:rPr>
        <w:t xml:space="preserve"> : 3,4 L pour 100 km par passager en 2019 contre 3,5 L en 2014.</w:t>
      </w:r>
    </w:p>
    <w:p w14:paraId="7DCF895A" w14:textId="77777777" w:rsidR="00E00994" w:rsidRPr="00E00994" w:rsidRDefault="00E00994" w:rsidP="00633AF2">
      <w:pPr>
        <w:pStyle w:val="Titre2"/>
      </w:pPr>
      <w:r w:rsidRPr="00E00994">
        <w:t>Des actions concrètes prises par les opérateurs</w:t>
      </w:r>
    </w:p>
    <w:p w14:paraId="14B978C3" w14:textId="77777777" w:rsidR="00A27B58" w:rsidRDefault="00E00994" w:rsidP="00E00994">
      <w:pPr>
        <w:pStyle w:val="Paragraphedeliste"/>
        <w:numPr>
          <w:ilvl w:val="0"/>
          <w:numId w:val="14"/>
        </w:numPr>
      </w:pPr>
      <w:r w:rsidRPr="00633AF2">
        <w:rPr>
          <w:b/>
          <w:bCs/>
        </w:rPr>
        <w:t>Réseau fixe : fibre</w:t>
      </w:r>
      <w:r w:rsidRPr="00E00994">
        <w:t xml:space="preserve"> | Consommation énergétique des lignes Internet fixe divisée par 3 grâce à la fibre</w:t>
      </w:r>
      <w:r w:rsidR="00530B7F">
        <w:t xml:space="preserve"> | </w:t>
      </w:r>
      <w:r w:rsidR="00530B7F" w:rsidRPr="00530B7F">
        <w:t>Consommation annuelle moyenne par ligne en kWh</w:t>
      </w:r>
      <w:r w:rsidR="00530B7F">
        <w:t xml:space="preserve"> | ADSL (16)</w:t>
      </w:r>
      <w:r w:rsidR="00A27B58">
        <w:t>, Fibre (5), soit une division par 3 ;</w:t>
      </w:r>
    </w:p>
    <w:p w14:paraId="677FB0E6" w14:textId="6EE1B45B" w:rsidR="000010CC" w:rsidRDefault="00E00994" w:rsidP="00E00994">
      <w:pPr>
        <w:pStyle w:val="Paragraphedeliste"/>
        <w:numPr>
          <w:ilvl w:val="0"/>
          <w:numId w:val="14"/>
        </w:numPr>
      </w:pPr>
      <w:r w:rsidRPr="00633AF2">
        <w:rPr>
          <w:b/>
          <w:bCs/>
        </w:rPr>
        <w:t>Réseau mobile : 5G</w:t>
      </w:r>
      <w:r w:rsidR="00A27B58">
        <w:t xml:space="preserve"> | </w:t>
      </w:r>
      <w:r w:rsidRPr="00E00994">
        <w:t>Consommation énergétique des réseaux mobiles divisée par 20 d’ici 2030</w:t>
      </w:r>
      <w:r w:rsidR="00A27B58">
        <w:t xml:space="preserve"> | </w:t>
      </w:r>
      <w:r w:rsidR="00A27B58" w:rsidRPr="00A27B58">
        <w:t>Consommation électrique en kWh/Go</w:t>
      </w:r>
      <w:r w:rsidR="00A27B58">
        <w:t xml:space="preserve"> | </w:t>
      </w:r>
      <w:r w:rsidR="000010CC">
        <w:t>2G = 37 kWh/Go ; 3</w:t>
      </w:r>
      <w:r w:rsidR="000010CC" w:rsidRPr="000010CC">
        <w:t xml:space="preserve">G = </w:t>
      </w:r>
      <w:r w:rsidR="000010CC">
        <w:t>2,9</w:t>
      </w:r>
      <w:r w:rsidR="000010CC" w:rsidRPr="000010CC">
        <w:t xml:space="preserve"> kWh/Go ;</w:t>
      </w:r>
      <w:r w:rsidR="000010CC">
        <w:t xml:space="preserve"> 4</w:t>
      </w:r>
      <w:r w:rsidR="000010CC" w:rsidRPr="000010CC">
        <w:t xml:space="preserve">G = </w:t>
      </w:r>
      <w:r w:rsidR="000010CC">
        <w:t xml:space="preserve">0,6 </w:t>
      </w:r>
      <w:r w:rsidR="000010CC" w:rsidRPr="000010CC">
        <w:t>kWh/Go ;</w:t>
      </w:r>
      <w:r w:rsidR="000010CC">
        <w:t xml:space="preserve"> 5</w:t>
      </w:r>
      <w:r w:rsidR="000010CC" w:rsidRPr="000010CC">
        <w:t xml:space="preserve">G = </w:t>
      </w:r>
      <w:r w:rsidR="000010CC">
        <w:t>0,06</w:t>
      </w:r>
      <w:r w:rsidR="000010CC" w:rsidRPr="000010CC">
        <w:t xml:space="preserve"> kWh/Go</w:t>
      </w:r>
      <w:r w:rsidR="000010CC">
        <w:t>, soit une division par 500 entre la 2G et la 5G ;</w:t>
      </w:r>
    </w:p>
    <w:p w14:paraId="5141ACEC" w14:textId="1E769C65" w:rsidR="000010CC" w:rsidRDefault="00E00994" w:rsidP="00633AF2">
      <w:pPr>
        <w:pStyle w:val="Paragraphedeliste"/>
        <w:numPr>
          <w:ilvl w:val="0"/>
          <w:numId w:val="14"/>
        </w:numPr>
      </w:pPr>
      <w:r w:rsidRPr="00633AF2">
        <w:rPr>
          <w:b/>
          <w:bCs/>
        </w:rPr>
        <w:t>Box Internet</w:t>
      </w:r>
      <w:r w:rsidR="000010CC">
        <w:t xml:space="preserve"> | </w:t>
      </w:r>
      <w:r w:rsidR="000010CC" w:rsidRPr="000010CC">
        <w:t>Un effort d’efficacité qui a permis une baisse de 20 %</w:t>
      </w:r>
      <w:r w:rsidR="000A0098" w:rsidRPr="000A0098">
        <w:rPr>
          <w:vertAlign w:val="superscript"/>
        </w:rPr>
        <w:t>3</w:t>
      </w:r>
      <w:r w:rsidR="000A0098" w:rsidRPr="000A0098">
        <w:t xml:space="preserve"> de la consommation du parc de box</w:t>
      </w:r>
      <w:r w:rsidR="000A0098">
        <w:t xml:space="preserve"> | </w:t>
      </w:r>
      <w:r w:rsidR="000A0098" w:rsidRPr="000A0098">
        <w:t>Consommation électrique en W/h</w:t>
      </w:r>
      <w:r w:rsidR="000A0098" w:rsidRPr="000A0098">
        <w:rPr>
          <w:vertAlign w:val="superscript"/>
        </w:rPr>
        <w:t>1</w:t>
      </w:r>
      <w:r w:rsidR="000A0098" w:rsidRPr="000A0098">
        <w:t>. France – 2016</w:t>
      </w:r>
      <w:r w:rsidR="000A0098">
        <w:t>-</w:t>
      </w:r>
      <w:r w:rsidR="000A0098" w:rsidRPr="000A0098">
        <w:t>2019</w:t>
      </w:r>
      <w:r w:rsidR="000A0098">
        <w:t xml:space="preserve"> | Sélection de box en 2016 (7,3 – 11,6)</w:t>
      </w:r>
      <w:r w:rsidR="0091022F">
        <w:t> ; Nouvelles box mises sur le marché en 2019 (6,6 – 8,0), soit une diminution de 10 à 40 %</w:t>
      </w:r>
      <w:r w:rsidR="0094706D">
        <w:t xml:space="preserve"> de la consommation électrique ;</w:t>
      </w:r>
    </w:p>
    <w:p w14:paraId="24DAD33C" w14:textId="5DEC8543" w:rsidR="00E00994" w:rsidRPr="00E00994" w:rsidRDefault="00E00994" w:rsidP="00633AF2">
      <w:pPr>
        <w:pStyle w:val="Paragraphedeliste"/>
        <w:numPr>
          <w:ilvl w:val="0"/>
          <w:numId w:val="14"/>
        </w:numPr>
      </w:pPr>
      <w:r w:rsidRPr="00633AF2">
        <w:rPr>
          <w:b/>
          <w:bCs/>
        </w:rPr>
        <w:t>Terminaux mobiles</w:t>
      </w:r>
      <w:r w:rsidR="000010CC">
        <w:t xml:space="preserve"> | </w:t>
      </w:r>
      <w:r w:rsidR="000010CC" w:rsidRPr="000010CC">
        <w:t>Un effort croissant de recyclage des terminaux</w:t>
      </w:r>
      <w:r w:rsidR="0094706D">
        <w:t xml:space="preserve"> | </w:t>
      </w:r>
      <w:r w:rsidRPr="00E00994">
        <w:t>Mobiles recyclés par les opérateurs de la FFTélécoms | Volumes en cumulé France – 2016-2019, en millions</w:t>
      </w:r>
      <w:r w:rsidR="0094706D">
        <w:t xml:space="preserve"> | 2016 (1,35) ; 2017 (2,87) ; 2018 (4,35) et 2019 (5,45</w:t>
      </w:r>
      <w:r w:rsidR="0094706D" w:rsidRPr="0094706D">
        <w:rPr>
          <w:vertAlign w:val="superscript"/>
        </w:rPr>
        <w:t>2</w:t>
      </w:r>
      <w:r w:rsidR="0094706D">
        <w:t>).</w:t>
      </w:r>
    </w:p>
    <w:p w14:paraId="0D2B0165" w14:textId="5FFBDFA7" w:rsidR="00E00994" w:rsidRPr="0050392D" w:rsidRDefault="00E00994" w:rsidP="00E00994">
      <w:pPr>
        <w:rPr>
          <w:color w:val="595959" w:themeColor="text1" w:themeTint="A6"/>
          <w:sz w:val="18"/>
          <w:szCs w:val="18"/>
        </w:rPr>
      </w:pPr>
      <w:r w:rsidRPr="0050392D">
        <w:rPr>
          <w:color w:val="595959" w:themeColor="text1" w:themeTint="A6"/>
          <w:sz w:val="18"/>
          <w:szCs w:val="18"/>
        </w:rPr>
        <w:t>Source : Arcep Note n° 5 « L’empreinte carbone du numérique », Communiqué de presse Orange, analyse Arthur D. Little.</w:t>
      </w:r>
      <w:r w:rsidR="00633AF2" w:rsidRPr="0050392D">
        <w:rPr>
          <w:color w:val="595959" w:themeColor="text1" w:themeTint="A6"/>
          <w:sz w:val="18"/>
          <w:szCs w:val="18"/>
        </w:rPr>
        <w:t xml:space="preserve"> </w:t>
      </w:r>
      <w:r w:rsidRPr="0050392D">
        <w:rPr>
          <w:color w:val="595959" w:themeColor="text1" w:themeTint="A6"/>
          <w:sz w:val="18"/>
          <w:szCs w:val="18"/>
        </w:rPr>
        <w:t>(1) En mode veille, avec maintien de la connexion Internet.</w:t>
      </w:r>
      <w:r w:rsidR="00633AF2" w:rsidRPr="0050392D">
        <w:rPr>
          <w:color w:val="595959" w:themeColor="text1" w:themeTint="A6"/>
          <w:sz w:val="18"/>
          <w:szCs w:val="18"/>
        </w:rPr>
        <w:t xml:space="preserve"> </w:t>
      </w:r>
      <w:r w:rsidRPr="0050392D">
        <w:rPr>
          <w:color w:val="595959" w:themeColor="text1" w:themeTint="A6"/>
          <w:sz w:val="18"/>
          <w:szCs w:val="18"/>
        </w:rPr>
        <w:t>(2) Le nombre de mobiles repris/recyclés représente 18,2 % des mobiles neufs mis en marché depuis 2016.</w:t>
      </w:r>
      <w:r w:rsidR="00633AF2" w:rsidRPr="0050392D">
        <w:rPr>
          <w:color w:val="595959" w:themeColor="text1" w:themeTint="A6"/>
          <w:sz w:val="18"/>
          <w:szCs w:val="18"/>
        </w:rPr>
        <w:t xml:space="preserve"> </w:t>
      </w:r>
      <w:r w:rsidRPr="0050392D">
        <w:rPr>
          <w:color w:val="595959" w:themeColor="text1" w:themeTint="A6"/>
          <w:sz w:val="18"/>
          <w:szCs w:val="18"/>
        </w:rPr>
        <w:t>(3) Estimations du Conseil général de l’économie : passage d’une consommation de 4,9 TWh en 2015 à 3,9 TWh en 2019.</w:t>
      </w:r>
    </w:p>
    <w:p w14:paraId="45E13DCF" w14:textId="77777777" w:rsidR="00E00994" w:rsidRPr="0094706D" w:rsidRDefault="00E00994" w:rsidP="00633AF2">
      <w:pPr>
        <w:pStyle w:val="Titre2"/>
      </w:pPr>
      <w:r w:rsidRPr="0094706D">
        <w:lastRenderedPageBreak/>
        <w:t>Les télécoms sont l’une des solutions aux défis environnementaux</w:t>
      </w:r>
    </w:p>
    <w:p w14:paraId="5638A901" w14:textId="77777777" w:rsidR="006E417B" w:rsidRDefault="00E00994" w:rsidP="00633AF2">
      <w:pPr>
        <w:pStyle w:val="Paragraphedeliste"/>
        <w:numPr>
          <w:ilvl w:val="0"/>
          <w:numId w:val="17"/>
        </w:numPr>
      </w:pPr>
      <w:r w:rsidRPr="00633AF2">
        <w:rPr>
          <w:b/>
          <w:bCs/>
        </w:rPr>
        <w:t>Un catalyseur d’économie d’émissions de GES Monde, 2018, Mt eqCO2</w:t>
      </w:r>
      <w:r w:rsidR="006E417B">
        <w:t xml:space="preserve"> | </w:t>
      </w:r>
      <w:r w:rsidR="001B2B23">
        <w:t>D’après GSMA :</w:t>
      </w:r>
      <w:r w:rsidR="006E417B">
        <w:t xml:space="preserve"> </w:t>
      </w:r>
      <w:r w:rsidR="00F5025C">
        <w:t>Émissions liées au secteur mobile </w:t>
      </w:r>
      <w:r w:rsidR="00FE76AA">
        <w:t>=</w:t>
      </w:r>
      <w:r w:rsidR="00F5025C">
        <w:t xml:space="preserve"> 220 Mt eqCO2 émis (économies x10) </w:t>
      </w:r>
      <w:r w:rsidR="00F5025C">
        <w:sym w:font="Wingdings" w:char="F0E8"/>
      </w:r>
      <w:r w:rsidR="00F5025C">
        <w:t xml:space="preserve"> </w:t>
      </w:r>
      <w:r w:rsidR="00FE76AA">
        <w:t xml:space="preserve">Économies d’émissions permises par le secteur mobile = - 2 136 Mt eqCo2 économisés | </w:t>
      </w:r>
      <w:r w:rsidR="004602BD">
        <w:t xml:space="preserve">Par secteur : </w:t>
      </w:r>
      <w:r w:rsidR="003D770B">
        <w:t>M</w:t>
      </w:r>
      <w:r w:rsidR="004602BD">
        <w:t>obilités (- 644)</w:t>
      </w:r>
      <w:r w:rsidR="003D770B">
        <w:t> ; T</w:t>
      </w:r>
      <w:r w:rsidR="004602BD">
        <w:t>ravail, vie, santé (</w:t>
      </w:r>
      <w:r w:rsidR="003D770B">
        <w:t xml:space="preserve">- 828) ; Agriculture (- 55) ; </w:t>
      </w:r>
      <w:r w:rsidR="003D770B" w:rsidRPr="006E417B">
        <w:rPr>
          <w:rFonts w:cstheme="minorHAnsi"/>
        </w:rPr>
        <w:t>É</w:t>
      </w:r>
      <w:r w:rsidR="003D770B">
        <w:t>nergie (- 159) ; Immobilier (- 210) ; Manufacturing (- 240)</w:t>
      </w:r>
      <w:r w:rsidR="00B40AA7">
        <w:t xml:space="preserve"> | 1 gramme d’eqCO2 émis par le secteur mobile permet d’économiser 10 g eqCO2 dans les autres secteurs ;</w:t>
      </w:r>
    </w:p>
    <w:p w14:paraId="2590351D" w14:textId="3FB4FB40" w:rsidR="00E00994" w:rsidRPr="00E00994" w:rsidRDefault="00E00994" w:rsidP="00633AF2">
      <w:pPr>
        <w:pStyle w:val="Paragraphedeliste"/>
        <w:numPr>
          <w:ilvl w:val="0"/>
          <w:numId w:val="17"/>
        </w:numPr>
      </w:pPr>
      <w:r w:rsidRPr="00633AF2">
        <w:rPr>
          <w:b/>
          <w:bCs/>
        </w:rPr>
        <w:t>Exemple du télétravail | Émissions</w:t>
      </w:r>
      <w:r w:rsidRPr="00633AF2">
        <w:rPr>
          <w:b/>
          <w:bCs/>
          <w:vertAlign w:val="superscript"/>
        </w:rPr>
        <w:t>1</w:t>
      </w:r>
      <w:r w:rsidRPr="00633AF2">
        <w:rPr>
          <w:b/>
          <w:bCs/>
        </w:rPr>
        <w:t xml:space="preserve"> GES directes, moyenne par jour travaillé, g eqCO2</w:t>
      </w:r>
      <w:r w:rsidR="00B40AA7">
        <w:t xml:space="preserve"> |</w:t>
      </w:r>
      <w:r w:rsidR="006E417B">
        <w:t xml:space="preserve"> D’après l’ADEME</w:t>
      </w:r>
      <w:r w:rsidR="00503A0A">
        <w:t xml:space="preserve"> (Agence de la transition écologique) : </w:t>
      </w:r>
      <w:r w:rsidR="00B10871" w:rsidRPr="00B10871">
        <w:t xml:space="preserve">Émissions liées </w:t>
      </w:r>
      <w:r w:rsidR="00B10871">
        <w:t xml:space="preserve">à la visioconférence = 11,40 Mt eqCO2 émis </w:t>
      </w:r>
      <w:r w:rsidR="00C47F7D" w:rsidRPr="00C47F7D">
        <w:t>(économies x1</w:t>
      </w:r>
      <w:r w:rsidR="00C47F7D">
        <w:t>0</w:t>
      </w:r>
      <w:r w:rsidR="00C47F7D" w:rsidRPr="00C47F7D">
        <w:t xml:space="preserve">0) </w:t>
      </w:r>
      <w:r w:rsidR="00B10871">
        <w:sym w:font="Wingdings" w:char="F0E8"/>
      </w:r>
      <w:r w:rsidR="00B10871">
        <w:t xml:space="preserve"> </w:t>
      </w:r>
      <w:r w:rsidR="00C47F7D">
        <w:t xml:space="preserve">Impact direct du télétravail : -1 188,6 Mt eqCO2 économisés | </w:t>
      </w:r>
      <w:r w:rsidR="00477254">
        <w:t xml:space="preserve">jour télétravaillé permet d’économiser 1 200 g eqCO2 avec un surcoût d’émission de seulement 12 </w:t>
      </w:r>
      <w:r w:rsidR="00214461">
        <w:t>grammes</w:t>
      </w:r>
      <w:r w:rsidR="00477254">
        <w:t xml:space="preserve"> sur les réseaux télécoms.</w:t>
      </w:r>
    </w:p>
    <w:p w14:paraId="6E673293" w14:textId="25CE16EB" w:rsidR="00E00994" w:rsidRPr="0050392D" w:rsidRDefault="00477254" w:rsidP="00477254">
      <w:pPr>
        <w:rPr>
          <w:color w:val="595959" w:themeColor="text1" w:themeTint="A6"/>
          <w:sz w:val="18"/>
          <w:szCs w:val="18"/>
        </w:rPr>
      </w:pPr>
      <w:r w:rsidRPr="0050392D">
        <w:rPr>
          <w:color w:val="595959" w:themeColor="text1" w:themeTint="A6"/>
          <w:sz w:val="18"/>
          <w:szCs w:val="18"/>
        </w:rPr>
        <w:t xml:space="preserve">Source : GSMA, « </w:t>
      </w:r>
      <w:r w:rsidRPr="0050392D">
        <w:rPr>
          <w:i/>
          <w:iCs/>
          <w:color w:val="595959" w:themeColor="text1" w:themeTint="A6"/>
          <w:sz w:val="18"/>
          <w:szCs w:val="18"/>
        </w:rPr>
        <w:t xml:space="preserve">The </w:t>
      </w:r>
      <w:proofErr w:type="spellStart"/>
      <w:r w:rsidRPr="0050392D">
        <w:rPr>
          <w:i/>
          <w:iCs/>
          <w:color w:val="595959" w:themeColor="text1" w:themeTint="A6"/>
          <w:sz w:val="18"/>
          <w:szCs w:val="18"/>
        </w:rPr>
        <w:t>Enablement</w:t>
      </w:r>
      <w:proofErr w:type="spellEnd"/>
      <w:r w:rsidRPr="0050392D">
        <w:rPr>
          <w:i/>
          <w:iCs/>
          <w:color w:val="595959" w:themeColor="text1" w:themeTint="A6"/>
          <w:sz w:val="18"/>
          <w:szCs w:val="18"/>
        </w:rPr>
        <w:t xml:space="preserve"> </w:t>
      </w:r>
      <w:proofErr w:type="spellStart"/>
      <w:r w:rsidRPr="0050392D">
        <w:rPr>
          <w:i/>
          <w:iCs/>
          <w:color w:val="595959" w:themeColor="text1" w:themeTint="A6"/>
          <w:sz w:val="18"/>
          <w:szCs w:val="18"/>
        </w:rPr>
        <w:t>Effect</w:t>
      </w:r>
      <w:proofErr w:type="spellEnd"/>
      <w:r w:rsidRPr="0050392D">
        <w:rPr>
          <w:color w:val="595959" w:themeColor="text1" w:themeTint="A6"/>
          <w:sz w:val="18"/>
          <w:szCs w:val="18"/>
        </w:rPr>
        <w:t xml:space="preserve"> », ADEME 2020. Étude sur la caractérisation des effets rebonds induits par le télétravail, analyse Arthur D. Little.</w:t>
      </w:r>
      <w:r w:rsidR="00633AF2" w:rsidRPr="0050392D">
        <w:rPr>
          <w:color w:val="595959" w:themeColor="text1" w:themeTint="A6"/>
          <w:sz w:val="18"/>
          <w:szCs w:val="18"/>
        </w:rPr>
        <w:t xml:space="preserve"> </w:t>
      </w:r>
      <w:r w:rsidRPr="0050392D">
        <w:rPr>
          <w:color w:val="595959" w:themeColor="text1" w:themeTint="A6"/>
          <w:sz w:val="18"/>
          <w:szCs w:val="18"/>
        </w:rPr>
        <w:t>(1) Émissions moyennes par personne exerçant une activité professionnelle et par an, liées aux trajets domicile-travail.</w:t>
      </w:r>
      <w:r w:rsidR="00633AF2" w:rsidRPr="0050392D">
        <w:rPr>
          <w:color w:val="595959" w:themeColor="text1" w:themeTint="A6"/>
          <w:sz w:val="18"/>
          <w:szCs w:val="18"/>
        </w:rPr>
        <w:t xml:space="preserve"> </w:t>
      </w:r>
      <w:r w:rsidRPr="0050392D">
        <w:rPr>
          <w:color w:val="595959" w:themeColor="text1" w:themeTint="A6"/>
          <w:sz w:val="18"/>
          <w:szCs w:val="18"/>
        </w:rPr>
        <w:t>(2) Estimation d’économie basée sur l’estimation de l’ADEME.</w:t>
      </w:r>
    </w:p>
    <w:p w14:paraId="7B95B00B" w14:textId="111A4D15" w:rsidR="00477254" w:rsidRPr="00477254" w:rsidRDefault="00477254" w:rsidP="00633AF2">
      <w:pPr>
        <w:pStyle w:val="Titre2"/>
      </w:pPr>
      <w:r w:rsidRPr="00477254">
        <w:t>L’effort soutenu des télécoms doit être amplifié par les autres acteurs de l’écosystème numérique</w:t>
      </w:r>
    </w:p>
    <w:p w14:paraId="390BDF25" w14:textId="31EF513B" w:rsidR="00477254" w:rsidRDefault="00464AAC" w:rsidP="00464AAC">
      <w:r>
        <w:t>Empreinte carbone du numérique en France sur la base des estimations du scénario central du rapport du Sénat - Juin 2020.</w:t>
      </w:r>
    </w:p>
    <w:p w14:paraId="450C210C" w14:textId="4AA47B09" w:rsidR="0092509C" w:rsidRDefault="00620D52" w:rsidP="0092509C">
      <w:pPr>
        <w:pStyle w:val="Paragraphedeliste"/>
        <w:numPr>
          <w:ilvl w:val="0"/>
          <w:numId w:val="18"/>
        </w:numPr>
      </w:pPr>
      <w:r w:rsidRPr="00633AF2">
        <w:rPr>
          <w:b/>
          <w:bCs/>
        </w:rPr>
        <w:t>Équipements connectés</w:t>
      </w:r>
      <w:r w:rsidRPr="00633AF2">
        <w:rPr>
          <w:b/>
          <w:bCs/>
          <w:vertAlign w:val="superscript"/>
        </w:rPr>
        <w:t>2</w:t>
      </w:r>
      <w:r w:rsidRPr="00633AF2">
        <w:rPr>
          <w:b/>
          <w:bCs/>
        </w:rPr>
        <w:t xml:space="preserve"> | 10% en 2020</w:t>
      </w:r>
      <w:r>
        <w:t xml:space="preserve"> | </w:t>
      </w:r>
      <w:r w:rsidR="0092509C">
        <w:t>Empreinte carbone liée aux terminaux x 2 d’ici 2040 ;</w:t>
      </w:r>
    </w:p>
    <w:p w14:paraId="1795726B" w14:textId="5C098376" w:rsidR="0092509C" w:rsidRDefault="00620D52" w:rsidP="00633AF2">
      <w:pPr>
        <w:pStyle w:val="Paragraphedeliste"/>
        <w:numPr>
          <w:ilvl w:val="0"/>
          <w:numId w:val="18"/>
        </w:numPr>
      </w:pPr>
      <w:r w:rsidRPr="00214461">
        <w:rPr>
          <w:b/>
          <w:bCs/>
          <w:i/>
          <w:iCs/>
        </w:rPr>
        <w:t>Data centers</w:t>
      </w:r>
      <w:r w:rsidRPr="00633AF2">
        <w:rPr>
          <w:b/>
          <w:bCs/>
        </w:rPr>
        <w:t xml:space="preserve"> | 3% en 2020 </w:t>
      </w:r>
      <w:r>
        <w:t xml:space="preserve">| </w:t>
      </w:r>
      <w:r w:rsidR="0092509C">
        <w:t>Un modèle cloud global des GAFA à forts impacts environnementaux ;</w:t>
      </w:r>
    </w:p>
    <w:p w14:paraId="293EC87F" w14:textId="5BA62F47" w:rsidR="0092509C" w:rsidRDefault="00620D52" w:rsidP="00633AF2">
      <w:pPr>
        <w:pStyle w:val="Paragraphedeliste"/>
        <w:numPr>
          <w:ilvl w:val="0"/>
          <w:numId w:val="18"/>
        </w:numPr>
      </w:pPr>
      <w:r w:rsidRPr="00633AF2">
        <w:rPr>
          <w:b/>
          <w:bCs/>
        </w:rPr>
        <w:t xml:space="preserve">Réseaux télécoms | </w:t>
      </w:r>
      <w:r w:rsidR="00D67548" w:rsidRPr="00633AF2">
        <w:rPr>
          <w:b/>
          <w:bCs/>
        </w:rPr>
        <w:t>2% en 2020</w:t>
      </w:r>
      <w:r w:rsidR="00D67548">
        <w:t xml:space="preserve"> = Part du numérique dans l’empreinte carbone de la France | 6,7% en 2040 = Augmentation liée à la production des équipements connectés et à la croissance de contenu des acteurs internet.</w:t>
      </w:r>
    </w:p>
    <w:p w14:paraId="40654F1C" w14:textId="2A996677" w:rsidR="00464AAC" w:rsidRDefault="00464AAC" w:rsidP="00464AAC">
      <w:r>
        <w:t>La hausse de 60 % des émissions du secteur numérique d’ici 2040 est essentiellement liée aux data centers et aux terminaux (86 % des émissions des équipements connectés</w:t>
      </w:r>
      <w:r w:rsidRPr="00633AF2">
        <w:rPr>
          <w:vertAlign w:val="superscript"/>
        </w:rPr>
        <w:t>2</w:t>
      </w:r>
      <w:r>
        <w:t xml:space="preserve"> sont dus à leur production</w:t>
      </w:r>
      <w:r w:rsidRPr="00633AF2">
        <w:rPr>
          <w:vertAlign w:val="superscript"/>
        </w:rPr>
        <w:t>1</w:t>
      </w:r>
      <w:r>
        <w:t>)</w:t>
      </w:r>
    </w:p>
    <w:p w14:paraId="55AF99E9" w14:textId="087CDBD4" w:rsidR="00633AF2" w:rsidRPr="0050392D" w:rsidRDefault="00464AAC" w:rsidP="0050392D">
      <w:pPr>
        <w:spacing w:after="0"/>
        <w:rPr>
          <w:color w:val="595959" w:themeColor="text1" w:themeTint="A6"/>
          <w:sz w:val="18"/>
          <w:szCs w:val="18"/>
        </w:rPr>
      </w:pPr>
      <w:r w:rsidRPr="0050392D">
        <w:rPr>
          <w:color w:val="595959" w:themeColor="text1" w:themeTint="A6"/>
          <w:sz w:val="18"/>
          <w:szCs w:val="18"/>
        </w:rPr>
        <w:t>Source : Rapport 2019/2020 de la mission d’information sur l’empreinte environnementale du numérique au Sénat, analyse Arthur D. Little.</w:t>
      </w:r>
      <w:r w:rsidR="00633AF2" w:rsidRPr="0050392D">
        <w:rPr>
          <w:color w:val="595959" w:themeColor="text1" w:themeTint="A6"/>
          <w:sz w:val="18"/>
          <w:szCs w:val="18"/>
        </w:rPr>
        <w:t xml:space="preserve"> </w:t>
      </w:r>
      <w:r w:rsidRPr="0050392D">
        <w:rPr>
          <w:color w:val="595959" w:themeColor="text1" w:themeTint="A6"/>
          <w:sz w:val="18"/>
          <w:szCs w:val="18"/>
        </w:rPr>
        <w:t>(1) Production des équipements connectés majoritairement en Asie du Sud-Est, avec une haute intensité carbone de l’électricité (213,8 g CO2eq/kWh en moyenne vs 57,1 g CO2eq/kWh en France).</w:t>
      </w:r>
      <w:r w:rsidR="00633AF2" w:rsidRPr="0050392D">
        <w:rPr>
          <w:color w:val="595959" w:themeColor="text1" w:themeTint="A6"/>
          <w:sz w:val="18"/>
          <w:szCs w:val="18"/>
        </w:rPr>
        <w:t xml:space="preserve"> </w:t>
      </w:r>
      <w:r w:rsidRPr="0050392D">
        <w:rPr>
          <w:color w:val="595959" w:themeColor="text1" w:themeTint="A6"/>
          <w:sz w:val="18"/>
          <w:szCs w:val="18"/>
        </w:rPr>
        <w:t>(2) Smartphones, ordinateurs, imprimantes, écrans d’ordinateur, tablettes, téléviseurs, box, consoles de jeux, casques de réalité virtuelle, enceintes connectées, écrans publicitaires et modules de connexion IoT</w:t>
      </w:r>
      <w:r w:rsidR="00214461">
        <w:rPr>
          <w:color w:val="595959" w:themeColor="text1" w:themeTint="A6"/>
          <w:sz w:val="18"/>
          <w:szCs w:val="18"/>
        </w:rPr>
        <w:t xml:space="preserve"> (Internet des Objets)</w:t>
      </w:r>
      <w:r w:rsidRPr="0050392D">
        <w:rPr>
          <w:color w:val="595959" w:themeColor="text1" w:themeTint="A6"/>
          <w:sz w:val="18"/>
          <w:szCs w:val="18"/>
        </w:rPr>
        <w:t>.</w:t>
      </w:r>
    </w:p>
    <w:p w14:paraId="276A2B87" w14:textId="5D8E8688" w:rsidR="0050392D" w:rsidRDefault="0050392D" w:rsidP="00464AAC">
      <w:pPr>
        <w:pBdr>
          <w:bottom w:val="single" w:sz="12" w:space="1" w:color="auto"/>
        </w:pBdr>
      </w:pPr>
    </w:p>
    <w:p w14:paraId="7805419F" w14:textId="1A5440DE" w:rsidR="0050392D" w:rsidRDefault="00464AAC" w:rsidP="0050392D">
      <w:pPr>
        <w:jc w:val="center"/>
      </w:pPr>
      <w:r>
        <w:t>Responsabilité | Transparence</w:t>
      </w:r>
      <w:r w:rsidRPr="00464AAC">
        <w:t xml:space="preserve"> |</w:t>
      </w:r>
      <w:r>
        <w:t xml:space="preserve"> Écoute</w:t>
      </w:r>
      <w:r w:rsidRPr="00464AAC">
        <w:t xml:space="preserve"> |</w:t>
      </w:r>
      <w:r>
        <w:t xml:space="preserve"> Respect</w:t>
      </w:r>
      <w:r w:rsidRPr="00464AAC">
        <w:t xml:space="preserve"> |</w:t>
      </w:r>
      <w:r>
        <w:t xml:space="preserve"> Innovation</w:t>
      </w:r>
      <w:r w:rsidR="0050392D">
        <w:t>.</w:t>
      </w:r>
    </w:p>
    <w:p w14:paraId="4595E080" w14:textId="2566E8FF" w:rsidR="00464AAC" w:rsidRPr="00142DDC" w:rsidRDefault="00464AAC" w:rsidP="0050392D">
      <w:pPr>
        <w:jc w:val="center"/>
        <w:rPr>
          <w:sz w:val="36"/>
          <w:szCs w:val="36"/>
        </w:rPr>
      </w:pPr>
      <w:r w:rsidRPr="00142DDC">
        <w:rPr>
          <w:sz w:val="36"/>
          <w:szCs w:val="36"/>
        </w:rPr>
        <w:t>Fédération Française des Télécoms.</w:t>
      </w:r>
    </w:p>
    <w:p w14:paraId="4F4B40C2" w14:textId="07A6A3E0" w:rsidR="00464AAC" w:rsidRPr="00156B8D" w:rsidRDefault="00464AAC" w:rsidP="0050392D">
      <w:pPr>
        <w:jc w:val="center"/>
      </w:pPr>
      <w:r>
        <w:t>11-17 rue de l’Amiral Hamelin 75116 Paris</w:t>
      </w:r>
      <w:r w:rsidR="0050392D">
        <w:t>.</w:t>
      </w:r>
      <w:r w:rsidR="00142DDC">
        <w:t xml:space="preserve"> </w:t>
      </w:r>
      <w:hyperlink r:id="rId10" w:history="1">
        <w:r w:rsidR="0050392D" w:rsidRPr="00BC2861">
          <w:rPr>
            <w:rStyle w:val="Lienhypertexte"/>
          </w:rPr>
          <w:t>www.telecoms.org</w:t>
        </w:r>
      </w:hyperlink>
    </w:p>
    <w:p w14:paraId="4430DDA8" w14:textId="77777777" w:rsidR="0050392D" w:rsidRPr="00156B8D" w:rsidRDefault="0050392D">
      <w:pPr>
        <w:jc w:val="center"/>
      </w:pPr>
    </w:p>
    <w:sectPr w:rsidR="0050392D" w:rsidRPr="00156B8D" w:rsidSect="008D12A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0D5C8" w14:textId="77777777" w:rsidR="00633AF2" w:rsidRDefault="00633AF2" w:rsidP="00D246F8">
      <w:pPr>
        <w:spacing w:after="0" w:line="240" w:lineRule="auto"/>
      </w:pPr>
      <w:r>
        <w:separator/>
      </w:r>
    </w:p>
  </w:endnote>
  <w:endnote w:type="continuationSeparator" w:id="0">
    <w:p w14:paraId="35631326" w14:textId="77777777" w:rsidR="00633AF2" w:rsidRDefault="00633AF2" w:rsidP="00D2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994740"/>
      <w:docPartObj>
        <w:docPartGallery w:val="Page Numbers (Bottom of Page)"/>
        <w:docPartUnique/>
      </w:docPartObj>
    </w:sdtPr>
    <w:sdtEndPr>
      <w:rPr>
        <w:sz w:val="20"/>
        <w:szCs w:val="20"/>
      </w:rPr>
    </w:sdtEndPr>
    <w:sdtContent>
      <w:p w14:paraId="4757A824" w14:textId="51BFB1A0" w:rsidR="00633AF2" w:rsidRPr="00D246F8" w:rsidRDefault="00633AF2" w:rsidP="00D246F8">
        <w:pPr>
          <w:pStyle w:val="Pieddepage"/>
          <w:jc w:val="center"/>
          <w:rPr>
            <w:sz w:val="20"/>
            <w:szCs w:val="20"/>
          </w:rPr>
        </w:pPr>
        <w:r w:rsidRPr="00D246F8">
          <w:rPr>
            <w:sz w:val="20"/>
            <w:szCs w:val="20"/>
          </w:rPr>
          <w:fldChar w:fldCharType="begin"/>
        </w:r>
        <w:r w:rsidRPr="00D246F8">
          <w:rPr>
            <w:sz w:val="20"/>
            <w:szCs w:val="20"/>
          </w:rPr>
          <w:instrText>PAGE   \* MERGEFORMAT</w:instrText>
        </w:r>
        <w:r w:rsidRPr="00D246F8">
          <w:rPr>
            <w:sz w:val="20"/>
            <w:szCs w:val="20"/>
          </w:rPr>
          <w:fldChar w:fldCharType="separate"/>
        </w:r>
        <w:r w:rsidRPr="00D246F8">
          <w:rPr>
            <w:sz w:val="20"/>
            <w:szCs w:val="20"/>
          </w:rPr>
          <w:t>2</w:t>
        </w:r>
        <w:r w:rsidRPr="00D246F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560BD" w14:textId="77777777" w:rsidR="00633AF2" w:rsidRDefault="00633AF2" w:rsidP="00D246F8">
      <w:pPr>
        <w:spacing w:after="0" w:line="240" w:lineRule="auto"/>
      </w:pPr>
      <w:r>
        <w:separator/>
      </w:r>
    </w:p>
  </w:footnote>
  <w:footnote w:type="continuationSeparator" w:id="0">
    <w:p w14:paraId="7F392840" w14:textId="77777777" w:rsidR="00633AF2" w:rsidRDefault="00633AF2" w:rsidP="00D24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6C28A" w14:textId="63EF366B" w:rsidR="00633AF2" w:rsidRDefault="00633AF2" w:rsidP="0050392D">
    <w:pPr>
      <w:pStyle w:val="En-tte"/>
      <w:spacing w:after="240"/>
      <w:jc w:val="center"/>
    </w:pPr>
    <w:r>
      <w:rPr>
        <w:noProof/>
      </w:rPr>
      <w:drawing>
        <wp:inline distT="0" distB="0" distL="0" distR="0" wp14:anchorId="7E9A0E43" wp14:editId="0CB3B46A">
          <wp:extent cx="792218" cy="288000"/>
          <wp:effectExtent l="0" t="0" r="8255"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2218" cy="28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8028B"/>
    <w:multiLevelType w:val="multilevel"/>
    <w:tmpl w:val="87763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94EC8"/>
    <w:multiLevelType w:val="hybridMultilevel"/>
    <w:tmpl w:val="27402E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0B4914"/>
    <w:multiLevelType w:val="hybridMultilevel"/>
    <w:tmpl w:val="8AECF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5E1E0E"/>
    <w:multiLevelType w:val="hybridMultilevel"/>
    <w:tmpl w:val="4754B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4E2087"/>
    <w:multiLevelType w:val="hybridMultilevel"/>
    <w:tmpl w:val="3182B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076C5F"/>
    <w:multiLevelType w:val="hybridMultilevel"/>
    <w:tmpl w:val="72661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555E82"/>
    <w:multiLevelType w:val="hybridMultilevel"/>
    <w:tmpl w:val="E200A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0B4424"/>
    <w:multiLevelType w:val="multilevel"/>
    <w:tmpl w:val="DB3E6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BD18EB"/>
    <w:multiLevelType w:val="hybridMultilevel"/>
    <w:tmpl w:val="28BC2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5C727B"/>
    <w:multiLevelType w:val="hybridMultilevel"/>
    <w:tmpl w:val="547A5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1E47D9"/>
    <w:multiLevelType w:val="hybridMultilevel"/>
    <w:tmpl w:val="14348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2BE4C43"/>
    <w:multiLevelType w:val="hybridMultilevel"/>
    <w:tmpl w:val="FC3E8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B66698"/>
    <w:multiLevelType w:val="hybridMultilevel"/>
    <w:tmpl w:val="65BC5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AB6B65"/>
    <w:multiLevelType w:val="hybridMultilevel"/>
    <w:tmpl w:val="A1F23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BF4D48"/>
    <w:multiLevelType w:val="hybridMultilevel"/>
    <w:tmpl w:val="0ABE7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6213A2"/>
    <w:multiLevelType w:val="hybridMultilevel"/>
    <w:tmpl w:val="A0E61212"/>
    <w:lvl w:ilvl="0" w:tplc="8068ACB4">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76A7B36"/>
    <w:multiLevelType w:val="hybridMultilevel"/>
    <w:tmpl w:val="30A6C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A954CD"/>
    <w:multiLevelType w:val="hybridMultilevel"/>
    <w:tmpl w:val="1ED65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5"/>
  </w:num>
  <w:num w:numId="4">
    <w:abstractNumId w:val="9"/>
  </w:num>
  <w:num w:numId="5">
    <w:abstractNumId w:val="12"/>
  </w:num>
  <w:num w:numId="6">
    <w:abstractNumId w:val="4"/>
  </w:num>
  <w:num w:numId="7">
    <w:abstractNumId w:val="6"/>
  </w:num>
  <w:num w:numId="8">
    <w:abstractNumId w:val="2"/>
  </w:num>
  <w:num w:numId="9">
    <w:abstractNumId w:val="5"/>
  </w:num>
  <w:num w:numId="10">
    <w:abstractNumId w:val="3"/>
  </w:num>
  <w:num w:numId="11">
    <w:abstractNumId w:val="11"/>
  </w:num>
  <w:num w:numId="12">
    <w:abstractNumId w:val="13"/>
  </w:num>
  <w:num w:numId="13">
    <w:abstractNumId w:val="8"/>
  </w:num>
  <w:num w:numId="14">
    <w:abstractNumId w:val="10"/>
  </w:num>
  <w:num w:numId="15">
    <w:abstractNumId w:val="14"/>
  </w:num>
  <w:num w:numId="16">
    <w:abstractNumId w:val="1"/>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E7"/>
    <w:rsid w:val="000010CC"/>
    <w:rsid w:val="00007EB7"/>
    <w:rsid w:val="00016574"/>
    <w:rsid w:val="00055CD5"/>
    <w:rsid w:val="00071077"/>
    <w:rsid w:val="000A0098"/>
    <w:rsid w:val="000C53AE"/>
    <w:rsid w:val="000C6E82"/>
    <w:rsid w:val="0010722E"/>
    <w:rsid w:val="001075C6"/>
    <w:rsid w:val="00112466"/>
    <w:rsid w:val="001139F3"/>
    <w:rsid w:val="00142DDC"/>
    <w:rsid w:val="001531A6"/>
    <w:rsid w:val="00156B8D"/>
    <w:rsid w:val="00162289"/>
    <w:rsid w:val="00163E83"/>
    <w:rsid w:val="0017062E"/>
    <w:rsid w:val="00170882"/>
    <w:rsid w:val="0019783E"/>
    <w:rsid w:val="001A1420"/>
    <w:rsid w:val="001B2B23"/>
    <w:rsid w:val="00214461"/>
    <w:rsid w:val="00236CDA"/>
    <w:rsid w:val="00247ABF"/>
    <w:rsid w:val="00275C18"/>
    <w:rsid w:val="002B205D"/>
    <w:rsid w:val="002B356F"/>
    <w:rsid w:val="002E7EE6"/>
    <w:rsid w:val="002F1F6C"/>
    <w:rsid w:val="0031370A"/>
    <w:rsid w:val="003166CE"/>
    <w:rsid w:val="00320DC7"/>
    <w:rsid w:val="00365F72"/>
    <w:rsid w:val="00397832"/>
    <w:rsid w:val="003B58B5"/>
    <w:rsid w:val="003D770B"/>
    <w:rsid w:val="003E52AC"/>
    <w:rsid w:val="003E7F86"/>
    <w:rsid w:val="003F2E71"/>
    <w:rsid w:val="003F646A"/>
    <w:rsid w:val="00426322"/>
    <w:rsid w:val="00427966"/>
    <w:rsid w:val="00456BE4"/>
    <w:rsid w:val="004602BD"/>
    <w:rsid w:val="00464AAC"/>
    <w:rsid w:val="00464D1C"/>
    <w:rsid w:val="00464DBE"/>
    <w:rsid w:val="00471F76"/>
    <w:rsid w:val="00476A42"/>
    <w:rsid w:val="00477254"/>
    <w:rsid w:val="00485515"/>
    <w:rsid w:val="00486B07"/>
    <w:rsid w:val="00487885"/>
    <w:rsid w:val="004A5179"/>
    <w:rsid w:val="004E0386"/>
    <w:rsid w:val="004E519D"/>
    <w:rsid w:val="004F3FFB"/>
    <w:rsid w:val="004F5E68"/>
    <w:rsid w:val="0050392D"/>
    <w:rsid w:val="00503A0A"/>
    <w:rsid w:val="0052710A"/>
    <w:rsid w:val="00530B7F"/>
    <w:rsid w:val="00550E3A"/>
    <w:rsid w:val="0055646A"/>
    <w:rsid w:val="0056063E"/>
    <w:rsid w:val="005712C3"/>
    <w:rsid w:val="00590187"/>
    <w:rsid w:val="00590D2D"/>
    <w:rsid w:val="005A035C"/>
    <w:rsid w:val="005A61E8"/>
    <w:rsid w:val="005B341F"/>
    <w:rsid w:val="005D106F"/>
    <w:rsid w:val="005D1DA9"/>
    <w:rsid w:val="005F47DA"/>
    <w:rsid w:val="00615F7C"/>
    <w:rsid w:val="00616E9A"/>
    <w:rsid w:val="00620D52"/>
    <w:rsid w:val="0062447A"/>
    <w:rsid w:val="00626081"/>
    <w:rsid w:val="00633AF2"/>
    <w:rsid w:val="00644E7D"/>
    <w:rsid w:val="00663325"/>
    <w:rsid w:val="00664EF9"/>
    <w:rsid w:val="006769D3"/>
    <w:rsid w:val="00677134"/>
    <w:rsid w:val="00687DC4"/>
    <w:rsid w:val="006A46D0"/>
    <w:rsid w:val="006D55B9"/>
    <w:rsid w:val="006E0903"/>
    <w:rsid w:val="006E417B"/>
    <w:rsid w:val="006F658A"/>
    <w:rsid w:val="006F74D4"/>
    <w:rsid w:val="00721F81"/>
    <w:rsid w:val="00747812"/>
    <w:rsid w:val="007556B4"/>
    <w:rsid w:val="007B4E1B"/>
    <w:rsid w:val="007C3E2A"/>
    <w:rsid w:val="007C60DC"/>
    <w:rsid w:val="007D05B7"/>
    <w:rsid w:val="007E4F7D"/>
    <w:rsid w:val="007F14C7"/>
    <w:rsid w:val="007F5370"/>
    <w:rsid w:val="0080221D"/>
    <w:rsid w:val="00815A28"/>
    <w:rsid w:val="00831D71"/>
    <w:rsid w:val="00841D97"/>
    <w:rsid w:val="00865DA3"/>
    <w:rsid w:val="00877201"/>
    <w:rsid w:val="00893551"/>
    <w:rsid w:val="0089456A"/>
    <w:rsid w:val="008A5C38"/>
    <w:rsid w:val="008B09E9"/>
    <w:rsid w:val="008B590C"/>
    <w:rsid w:val="008C17A0"/>
    <w:rsid w:val="008D12A6"/>
    <w:rsid w:val="008E0749"/>
    <w:rsid w:val="008F0E3F"/>
    <w:rsid w:val="008F6D7D"/>
    <w:rsid w:val="0091022F"/>
    <w:rsid w:val="0092509C"/>
    <w:rsid w:val="0094703F"/>
    <w:rsid w:val="0094706D"/>
    <w:rsid w:val="0096248A"/>
    <w:rsid w:val="00980786"/>
    <w:rsid w:val="00997981"/>
    <w:rsid w:val="009A4562"/>
    <w:rsid w:val="009C6BBA"/>
    <w:rsid w:val="009D0142"/>
    <w:rsid w:val="009E42CA"/>
    <w:rsid w:val="00A01BEF"/>
    <w:rsid w:val="00A0487B"/>
    <w:rsid w:val="00A12A60"/>
    <w:rsid w:val="00A266F8"/>
    <w:rsid w:val="00A27B58"/>
    <w:rsid w:val="00A307F0"/>
    <w:rsid w:val="00A3348C"/>
    <w:rsid w:val="00A61AED"/>
    <w:rsid w:val="00A74D1A"/>
    <w:rsid w:val="00AB1B4B"/>
    <w:rsid w:val="00AC29D5"/>
    <w:rsid w:val="00AF1FFE"/>
    <w:rsid w:val="00AF2CD5"/>
    <w:rsid w:val="00B10871"/>
    <w:rsid w:val="00B3447F"/>
    <w:rsid w:val="00B40AA7"/>
    <w:rsid w:val="00BA24A1"/>
    <w:rsid w:val="00BA33C0"/>
    <w:rsid w:val="00BC0CDD"/>
    <w:rsid w:val="00BD2765"/>
    <w:rsid w:val="00C15BD2"/>
    <w:rsid w:val="00C30B2A"/>
    <w:rsid w:val="00C321F5"/>
    <w:rsid w:val="00C44817"/>
    <w:rsid w:val="00C47F7D"/>
    <w:rsid w:val="00C526A0"/>
    <w:rsid w:val="00C603BA"/>
    <w:rsid w:val="00C948DD"/>
    <w:rsid w:val="00CA291F"/>
    <w:rsid w:val="00CA4BCD"/>
    <w:rsid w:val="00CC11FF"/>
    <w:rsid w:val="00CF4527"/>
    <w:rsid w:val="00D246F8"/>
    <w:rsid w:val="00D30615"/>
    <w:rsid w:val="00D32ED9"/>
    <w:rsid w:val="00D46C37"/>
    <w:rsid w:val="00D51C33"/>
    <w:rsid w:val="00D67548"/>
    <w:rsid w:val="00D91628"/>
    <w:rsid w:val="00D92FA2"/>
    <w:rsid w:val="00DF5EEA"/>
    <w:rsid w:val="00E00994"/>
    <w:rsid w:val="00E1796E"/>
    <w:rsid w:val="00E2302D"/>
    <w:rsid w:val="00E37754"/>
    <w:rsid w:val="00E51A45"/>
    <w:rsid w:val="00E61A6B"/>
    <w:rsid w:val="00E61EE4"/>
    <w:rsid w:val="00E81D2C"/>
    <w:rsid w:val="00E9656F"/>
    <w:rsid w:val="00EA1D10"/>
    <w:rsid w:val="00EC3FE7"/>
    <w:rsid w:val="00ED18F6"/>
    <w:rsid w:val="00ED5089"/>
    <w:rsid w:val="00EE7A47"/>
    <w:rsid w:val="00EF0F3C"/>
    <w:rsid w:val="00EF5766"/>
    <w:rsid w:val="00F0256D"/>
    <w:rsid w:val="00F24F93"/>
    <w:rsid w:val="00F303A3"/>
    <w:rsid w:val="00F47528"/>
    <w:rsid w:val="00F5025C"/>
    <w:rsid w:val="00F84CFD"/>
    <w:rsid w:val="00FA10CE"/>
    <w:rsid w:val="00FA1F5E"/>
    <w:rsid w:val="00FA3425"/>
    <w:rsid w:val="00FE76AA"/>
    <w:rsid w:val="00FF06C7"/>
    <w:rsid w:val="00FF46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CF9783"/>
  <w15:chartTrackingRefBased/>
  <w15:docId w15:val="{97AED6C8-C372-4A06-AB10-C04DE2C0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3C0"/>
  </w:style>
  <w:style w:type="paragraph" w:styleId="Titre1">
    <w:name w:val="heading 1"/>
    <w:basedOn w:val="Paragraphedeliste"/>
    <w:next w:val="Normal"/>
    <w:link w:val="Titre1Car"/>
    <w:uiPriority w:val="9"/>
    <w:qFormat/>
    <w:rsid w:val="0050392D"/>
    <w:pPr>
      <w:numPr>
        <w:numId w:val="3"/>
      </w:numPr>
      <w:shd w:val="clear" w:color="auto" w:fill="EBF0F5"/>
      <w:spacing w:before="480"/>
      <w:jc w:val="center"/>
      <w:outlineLvl w:val="0"/>
    </w:pPr>
    <w:rPr>
      <w:b/>
      <w:bCs/>
      <w:sz w:val="32"/>
      <w:szCs w:val="32"/>
    </w:rPr>
  </w:style>
  <w:style w:type="paragraph" w:styleId="Titre2">
    <w:name w:val="heading 2"/>
    <w:basedOn w:val="Normal"/>
    <w:next w:val="Normal"/>
    <w:link w:val="Titre2Car"/>
    <w:uiPriority w:val="9"/>
    <w:unhideWhenUsed/>
    <w:qFormat/>
    <w:rsid w:val="00E2302D"/>
    <w:pPr>
      <w:ind w:left="360"/>
      <w:outlineLvl w:val="1"/>
    </w:pPr>
    <w:rPr>
      <w:b/>
      <w:bCs/>
      <w:sz w:val="28"/>
      <w:szCs w:val="28"/>
    </w:rPr>
  </w:style>
  <w:style w:type="paragraph" w:styleId="Titre3">
    <w:name w:val="heading 3"/>
    <w:basedOn w:val="Normal"/>
    <w:next w:val="Normal"/>
    <w:link w:val="Titre3Car"/>
    <w:uiPriority w:val="9"/>
    <w:unhideWhenUsed/>
    <w:qFormat/>
    <w:rsid w:val="006D55B9"/>
    <w:pPr>
      <w:keepNext/>
      <w:keepLines/>
      <w:spacing w:before="240" w:after="120"/>
      <w:ind w:left="360"/>
      <w:outlineLvl w:val="2"/>
    </w:pPr>
    <w:rPr>
      <w:rFonts w:eastAsiaTheme="majorEastAsia" w:cstheme="minorHAnsi"/>
      <w:b/>
      <w:bCs/>
      <w:sz w:val="24"/>
      <w:szCs w:val="24"/>
    </w:rPr>
  </w:style>
  <w:style w:type="paragraph" w:styleId="Titre4">
    <w:name w:val="heading 4"/>
    <w:basedOn w:val="Normal"/>
    <w:next w:val="Normal"/>
    <w:link w:val="Titre4Car"/>
    <w:uiPriority w:val="9"/>
    <w:semiHidden/>
    <w:unhideWhenUsed/>
    <w:qFormat/>
    <w:rsid w:val="00E009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246F8"/>
    <w:pPr>
      <w:shd w:val="clear" w:color="auto" w:fill="EBF0F5"/>
      <w:spacing w:after="480" w:line="240" w:lineRule="auto"/>
      <w:contextualSpacing/>
      <w:jc w:val="center"/>
    </w:pPr>
    <w:rPr>
      <w:rFonts w:eastAsiaTheme="majorEastAsia" w:cstheme="minorHAnsi"/>
      <w:b/>
      <w:bCs/>
      <w:spacing w:val="-10"/>
      <w:kern w:val="28"/>
      <w:sz w:val="48"/>
      <w:szCs w:val="48"/>
    </w:rPr>
  </w:style>
  <w:style w:type="character" w:customStyle="1" w:styleId="TitreCar">
    <w:name w:val="Titre Car"/>
    <w:basedOn w:val="Policepardfaut"/>
    <w:link w:val="Titre"/>
    <w:uiPriority w:val="10"/>
    <w:rsid w:val="00D246F8"/>
    <w:rPr>
      <w:rFonts w:eastAsiaTheme="majorEastAsia" w:cstheme="minorHAnsi"/>
      <w:b/>
      <w:bCs/>
      <w:spacing w:val="-10"/>
      <w:kern w:val="28"/>
      <w:sz w:val="48"/>
      <w:szCs w:val="48"/>
      <w:shd w:val="clear" w:color="auto" w:fill="EBF0F5"/>
    </w:rPr>
  </w:style>
  <w:style w:type="paragraph" w:styleId="En-tte">
    <w:name w:val="header"/>
    <w:basedOn w:val="Normal"/>
    <w:link w:val="En-tteCar"/>
    <w:uiPriority w:val="99"/>
    <w:unhideWhenUsed/>
    <w:rsid w:val="00D246F8"/>
    <w:pPr>
      <w:tabs>
        <w:tab w:val="center" w:pos="4536"/>
        <w:tab w:val="right" w:pos="9072"/>
      </w:tabs>
      <w:spacing w:after="0" w:line="240" w:lineRule="auto"/>
    </w:pPr>
  </w:style>
  <w:style w:type="character" w:customStyle="1" w:styleId="En-tteCar">
    <w:name w:val="En-tête Car"/>
    <w:basedOn w:val="Policepardfaut"/>
    <w:link w:val="En-tte"/>
    <w:uiPriority w:val="99"/>
    <w:rsid w:val="00D246F8"/>
  </w:style>
  <w:style w:type="paragraph" w:styleId="Pieddepage">
    <w:name w:val="footer"/>
    <w:basedOn w:val="Normal"/>
    <w:link w:val="PieddepageCar"/>
    <w:uiPriority w:val="99"/>
    <w:unhideWhenUsed/>
    <w:rsid w:val="00D246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46F8"/>
  </w:style>
  <w:style w:type="paragraph" w:styleId="Paragraphedeliste">
    <w:name w:val="List Paragraph"/>
    <w:basedOn w:val="Normal"/>
    <w:uiPriority w:val="34"/>
    <w:qFormat/>
    <w:rsid w:val="00AF2CD5"/>
    <w:pPr>
      <w:ind w:left="720"/>
      <w:contextualSpacing/>
    </w:pPr>
  </w:style>
  <w:style w:type="character" w:customStyle="1" w:styleId="Titre1Car">
    <w:name w:val="Titre 1 Car"/>
    <w:basedOn w:val="Policepardfaut"/>
    <w:link w:val="Titre1"/>
    <w:uiPriority w:val="9"/>
    <w:rsid w:val="0050392D"/>
    <w:rPr>
      <w:b/>
      <w:bCs/>
      <w:sz w:val="32"/>
      <w:szCs w:val="32"/>
      <w:shd w:val="clear" w:color="auto" w:fill="EBF0F5"/>
    </w:rPr>
  </w:style>
  <w:style w:type="character" w:customStyle="1" w:styleId="Titre2Car">
    <w:name w:val="Titre 2 Car"/>
    <w:basedOn w:val="Policepardfaut"/>
    <w:link w:val="Titre2"/>
    <w:uiPriority w:val="9"/>
    <w:rsid w:val="00E2302D"/>
    <w:rPr>
      <w:b/>
      <w:bCs/>
      <w:sz w:val="28"/>
      <w:szCs w:val="28"/>
    </w:rPr>
  </w:style>
  <w:style w:type="table" w:styleId="Grilledutableau">
    <w:name w:val="Table Grid"/>
    <w:basedOn w:val="TableauNormal"/>
    <w:uiPriority w:val="39"/>
    <w:rsid w:val="00EF5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6D55B9"/>
    <w:rPr>
      <w:rFonts w:eastAsiaTheme="majorEastAsia" w:cstheme="minorHAnsi"/>
      <w:b/>
      <w:bCs/>
      <w:sz w:val="24"/>
      <w:szCs w:val="24"/>
    </w:rPr>
  </w:style>
  <w:style w:type="character" w:customStyle="1" w:styleId="Titre4Car">
    <w:name w:val="Titre 4 Car"/>
    <w:basedOn w:val="Policepardfaut"/>
    <w:link w:val="Titre4"/>
    <w:uiPriority w:val="9"/>
    <w:semiHidden/>
    <w:rsid w:val="00E00994"/>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50392D"/>
    <w:rPr>
      <w:color w:val="0563C1" w:themeColor="hyperlink"/>
      <w:u w:val="single"/>
    </w:rPr>
  </w:style>
  <w:style w:type="character" w:styleId="Mentionnonrsolue">
    <w:name w:val="Unresolved Mention"/>
    <w:basedOn w:val="Policepardfaut"/>
    <w:uiPriority w:val="99"/>
    <w:semiHidden/>
    <w:unhideWhenUsed/>
    <w:rsid w:val="00503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463116">
      <w:bodyDiv w:val="1"/>
      <w:marLeft w:val="0"/>
      <w:marRight w:val="0"/>
      <w:marTop w:val="0"/>
      <w:marBottom w:val="0"/>
      <w:divBdr>
        <w:top w:val="none" w:sz="0" w:space="0" w:color="auto"/>
        <w:left w:val="none" w:sz="0" w:space="0" w:color="auto"/>
        <w:bottom w:val="none" w:sz="0" w:space="0" w:color="auto"/>
        <w:right w:val="none" w:sz="0" w:space="0" w:color="auto"/>
      </w:divBdr>
    </w:div>
    <w:div w:id="526404446">
      <w:bodyDiv w:val="1"/>
      <w:marLeft w:val="0"/>
      <w:marRight w:val="0"/>
      <w:marTop w:val="0"/>
      <w:marBottom w:val="0"/>
      <w:divBdr>
        <w:top w:val="none" w:sz="0" w:space="0" w:color="auto"/>
        <w:left w:val="none" w:sz="0" w:space="0" w:color="auto"/>
        <w:bottom w:val="none" w:sz="0" w:space="0" w:color="auto"/>
        <w:right w:val="none" w:sz="0" w:space="0" w:color="auto"/>
      </w:divBdr>
      <w:divsChild>
        <w:div w:id="1074280623">
          <w:marLeft w:val="0"/>
          <w:marRight w:val="0"/>
          <w:marTop w:val="0"/>
          <w:marBottom w:val="0"/>
          <w:divBdr>
            <w:top w:val="none" w:sz="0" w:space="0" w:color="auto"/>
            <w:left w:val="none" w:sz="0" w:space="0" w:color="auto"/>
            <w:bottom w:val="none" w:sz="0" w:space="0" w:color="auto"/>
            <w:right w:val="none" w:sz="0" w:space="0" w:color="auto"/>
          </w:divBdr>
          <w:divsChild>
            <w:div w:id="634875213">
              <w:marLeft w:val="0"/>
              <w:marRight w:val="0"/>
              <w:marTop w:val="0"/>
              <w:marBottom w:val="0"/>
              <w:divBdr>
                <w:top w:val="none" w:sz="0" w:space="0" w:color="auto"/>
                <w:left w:val="none" w:sz="0" w:space="0" w:color="auto"/>
                <w:bottom w:val="none" w:sz="0" w:space="0" w:color="auto"/>
                <w:right w:val="none" w:sz="0" w:space="0" w:color="auto"/>
              </w:divBdr>
              <w:divsChild>
                <w:div w:id="11995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2589">
      <w:bodyDiv w:val="1"/>
      <w:marLeft w:val="0"/>
      <w:marRight w:val="0"/>
      <w:marTop w:val="0"/>
      <w:marBottom w:val="0"/>
      <w:divBdr>
        <w:top w:val="none" w:sz="0" w:space="0" w:color="auto"/>
        <w:left w:val="none" w:sz="0" w:space="0" w:color="auto"/>
        <w:bottom w:val="none" w:sz="0" w:space="0" w:color="auto"/>
        <w:right w:val="none" w:sz="0" w:space="0" w:color="auto"/>
      </w:divBdr>
    </w:div>
    <w:div w:id="856433521">
      <w:bodyDiv w:val="1"/>
      <w:marLeft w:val="0"/>
      <w:marRight w:val="0"/>
      <w:marTop w:val="0"/>
      <w:marBottom w:val="0"/>
      <w:divBdr>
        <w:top w:val="none" w:sz="0" w:space="0" w:color="auto"/>
        <w:left w:val="none" w:sz="0" w:space="0" w:color="auto"/>
        <w:bottom w:val="none" w:sz="0" w:space="0" w:color="auto"/>
        <w:right w:val="none" w:sz="0" w:space="0" w:color="auto"/>
      </w:divBdr>
    </w:div>
    <w:div w:id="890921753">
      <w:bodyDiv w:val="1"/>
      <w:marLeft w:val="0"/>
      <w:marRight w:val="0"/>
      <w:marTop w:val="0"/>
      <w:marBottom w:val="0"/>
      <w:divBdr>
        <w:top w:val="none" w:sz="0" w:space="0" w:color="auto"/>
        <w:left w:val="none" w:sz="0" w:space="0" w:color="auto"/>
        <w:bottom w:val="none" w:sz="0" w:space="0" w:color="auto"/>
        <w:right w:val="none" w:sz="0" w:space="0" w:color="auto"/>
      </w:divBdr>
    </w:div>
    <w:div w:id="931821458">
      <w:bodyDiv w:val="1"/>
      <w:marLeft w:val="0"/>
      <w:marRight w:val="0"/>
      <w:marTop w:val="0"/>
      <w:marBottom w:val="0"/>
      <w:divBdr>
        <w:top w:val="none" w:sz="0" w:space="0" w:color="auto"/>
        <w:left w:val="none" w:sz="0" w:space="0" w:color="auto"/>
        <w:bottom w:val="none" w:sz="0" w:space="0" w:color="auto"/>
        <w:right w:val="none" w:sz="0" w:space="0" w:color="auto"/>
      </w:divBdr>
    </w:div>
    <w:div w:id="1088696026">
      <w:bodyDiv w:val="1"/>
      <w:marLeft w:val="0"/>
      <w:marRight w:val="0"/>
      <w:marTop w:val="0"/>
      <w:marBottom w:val="0"/>
      <w:divBdr>
        <w:top w:val="none" w:sz="0" w:space="0" w:color="auto"/>
        <w:left w:val="none" w:sz="0" w:space="0" w:color="auto"/>
        <w:bottom w:val="none" w:sz="0" w:space="0" w:color="auto"/>
        <w:right w:val="none" w:sz="0" w:space="0" w:color="auto"/>
      </w:divBdr>
    </w:div>
    <w:div w:id="1758359701">
      <w:bodyDiv w:val="1"/>
      <w:marLeft w:val="0"/>
      <w:marRight w:val="0"/>
      <w:marTop w:val="0"/>
      <w:marBottom w:val="0"/>
      <w:divBdr>
        <w:top w:val="none" w:sz="0" w:space="0" w:color="auto"/>
        <w:left w:val="none" w:sz="0" w:space="0" w:color="auto"/>
        <w:bottom w:val="none" w:sz="0" w:space="0" w:color="auto"/>
        <w:right w:val="none" w:sz="0" w:space="0" w:color="auto"/>
      </w:divBdr>
    </w:div>
    <w:div w:id="1765153387">
      <w:bodyDiv w:val="1"/>
      <w:marLeft w:val="0"/>
      <w:marRight w:val="0"/>
      <w:marTop w:val="0"/>
      <w:marBottom w:val="0"/>
      <w:divBdr>
        <w:top w:val="none" w:sz="0" w:space="0" w:color="auto"/>
        <w:left w:val="none" w:sz="0" w:space="0" w:color="auto"/>
        <w:bottom w:val="none" w:sz="0" w:space="0" w:color="auto"/>
        <w:right w:val="none" w:sz="0" w:space="0" w:color="auto"/>
      </w:divBdr>
    </w:div>
    <w:div w:id="1804882573">
      <w:bodyDiv w:val="1"/>
      <w:marLeft w:val="0"/>
      <w:marRight w:val="0"/>
      <w:marTop w:val="0"/>
      <w:marBottom w:val="0"/>
      <w:divBdr>
        <w:top w:val="none" w:sz="0" w:space="0" w:color="auto"/>
        <w:left w:val="none" w:sz="0" w:space="0" w:color="auto"/>
        <w:bottom w:val="none" w:sz="0" w:space="0" w:color="auto"/>
        <w:right w:val="none" w:sz="0" w:space="0" w:color="auto"/>
      </w:divBdr>
    </w:div>
    <w:div w:id="1813062331">
      <w:bodyDiv w:val="1"/>
      <w:marLeft w:val="0"/>
      <w:marRight w:val="0"/>
      <w:marTop w:val="0"/>
      <w:marBottom w:val="0"/>
      <w:divBdr>
        <w:top w:val="none" w:sz="0" w:space="0" w:color="auto"/>
        <w:left w:val="none" w:sz="0" w:space="0" w:color="auto"/>
        <w:bottom w:val="none" w:sz="0" w:space="0" w:color="auto"/>
        <w:right w:val="none" w:sz="0" w:space="0" w:color="auto"/>
      </w:divBdr>
    </w:div>
    <w:div w:id="1907186984">
      <w:bodyDiv w:val="1"/>
      <w:marLeft w:val="0"/>
      <w:marRight w:val="0"/>
      <w:marTop w:val="0"/>
      <w:marBottom w:val="0"/>
      <w:divBdr>
        <w:top w:val="none" w:sz="0" w:space="0" w:color="auto"/>
        <w:left w:val="none" w:sz="0" w:space="0" w:color="auto"/>
        <w:bottom w:val="none" w:sz="0" w:space="0" w:color="auto"/>
        <w:right w:val="none" w:sz="0" w:space="0" w:color="auto"/>
      </w:divBdr>
      <w:divsChild>
        <w:div w:id="432096625">
          <w:marLeft w:val="0"/>
          <w:marRight w:val="0"/>
          <w:marTop w:val="0"/>
          <w:marBottom w:val="0"/>
          <w:divBdr>
            <w:top w:val="none" w:sz="0" w:space="0" w:color="auto"/>
            <w:left w:val="none" w:sz="0" w:space="0" w:color="auto"/>
            <w:bottom w:val="none" w:sz="0" w:space="0" w:color="auto"/>
            <w:right w:val="none" w:sz="0" w:space="0" w:color="auto"/>
          </w:divBdr>
          <w:divsChild>
            <w:div w:id="516233852">
              <w:marLeft w:val="0"/>
              <w:marRight w:val="0"/>
              <w:marTop w:val="0"/>
              <w:marBottom w:val="0"/>
              <w:divBdr>
                <w:top w:val="none" w:sz="0" w:space="0" w:color="auto"/>
                <w:left w:val="none" w:sz="0" w:space="0" w:color="auto"/>
                <w:bottom w:val="none" w:sz="0" w:space="0" w:color="auto"/>
                <w:right w:val="none" w:sz="0" w:space="0" w:color="auto"/>
              </w:divBdr>
              <w:divsChild>
                <w:div w:id="1288656649">
                  <w:marLeft w:val="0"/>
                  <w:marRight w:val="0"/>
                  <w:marTop w:val="0"/>
                  <w:marBottom w:val="0"/>
                  <w:divBdr>
                    <w:top w:val="none" w:sz="0" w:space="0" w:color="auto"/>
                    <w:left w:val="none" w:sz="0" w:space="0" w:color="auto"/>
                    <w:bottom w:val="none" w:sz="0" w:space="0" w:color="auto"/>
                    <w:right w:val="none" w:sz="0" w:space="0" w:color="auto"/>
                  </w:divBdr>
                  <w:divsChild>
                    <w:div w:id="1654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44028">
          <w:marLeft w:val="0"/>
          <w:marRight w:val="0"/>
          <w:marTop w:val="0"/>
          <w:marBottom w:val="0"/>
          <w:divBdr>
            <w:top w:val="none" w:sz="0" w:space="0" w:color="auto"/>
            <w:left w:val="none" w:sz="0" w:space="0" w:color="auto"/>
            <w:bottom w:val="none" w:sz="0" w:space="0" w:color="auto"/>
            <w:right w:val="none" w:sz="0" w:space="0" w:color="auto"/>
          </w:divBdr>
          <w:divsChild>
            <w:div w:id="1544052338">
              <w:marLeft w:val="0"/>
              <w:marRight w:val="0"/>
              <w:marTop w:val="0"/>
              <w:marBottom w:val="0"/>
              <w:divBdr>
                <w:top w:val="none" w:sz="0" w:space="0" w:color="auto"/>
                <w:left w:val="none" w:sz="0" w:space="0" w:color="auto"/>
                <w:bottom w:val="none" w:sz="0" w:space="0" w:color="auto"/>
                <w:right w:val="none" w:sz="0" w:space="0" w:color="auto"/>
              </w:divBdr>
              <w:divsChild>
                <w:div w:id="2016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69997">
      <w:bodyDiv w:val="1"/>
      <w:marLeft w:val="0"/>
      <w:marRight w:val="0"/>
      <w:marTop w:val="0"/>
      <w:marBottom w:val="0"/>
      <w:divBdr>
        <w:top w:val="none" w:sz="0" w:space="0" w:color="auto"/>
        <w:left w:val="none" w:sz="0" w:space="0" w:color="auto"/>
        <w:bottom w:val="none" w:sz="0" w:space="0" w:color="auto"/>
        <w:right w:val="none" w:sz="0" w:space="0" w:color="auto"/>
      </w:divBdr>
      <w:divsChild>
        <w:div w:id="1330670262">
          <w:marLeft w:val="0"/>
          <w:marRight w:val="0"/>
          <w:marTop w:val="0"/>
          <w:marBottom w:val="0"/>
          <w:divBdr>
            <w:top w:val="none" w:sz="0" w:space="0" w:color="auto"/>
            <w:left w:val="none" w:sz="0" w:space="0" w:color="auto"/>
            <w:bottom w:val="none" w:sz="0" w:space="0" w:color="auto"/>
            <w:right w:val="none" w:sz="0" w:space="0" w:color="auto"/>
          </w:divBdr>
          <w:divsChild>
            <w:div w:id="8006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elecom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5E5656D5EF8F439F9DE0A63B413C97" ma:contentTypeVersion="10" ma:contentTypeDescription="Crée un document." ma:contentTypeScope="" ma:versionID="7f6d88d4475aa674cfe2b0326c917c03">
  <xsd:schema xmlns:xsd="http://www.w3.org/2001/XMLSchema" xmlns:xs="http://www.w3.org/2001/XMLSchema" xmlns:p="http://schemas.microsoft.com/office/2006/metadata/properties" xmlns:ns2="b1e96a75-7782-4131-adb0-32512da3826d" targetNamespace="http://schemas.microsoft.com/office/2006/metadata/properties" ma:root="true" ma:fieldsID="759e9bfe93656993ba0443540b716e84" ns2:_="">
    <xsd:import namespace="b1e96a75-7782-4131-adb0-32512da382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96a75-7782-4131-adb0-32512da38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31812-6674-4B4F-AD80-4D046A825D36}">
  <ds:schemaRefs>
    <ds:schemaRef ds:uri="http://schemas.microsoft.com/sharepoint/v3/contenttype/forms"/>
  </ds:schemaRefs>
</ds:datastoreItem>
</file>

<file path=customXml/itemProps2.xml><?xml version="1.0" encoding="utf-8"?>
<ds:datastoreItem xmlns:ds="http://schemas.openxmlformats.org/officeDocument/2006/customXml" ds:itemID="{91DFA743-76F5-4F26-BB4C-DEEF66A184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C4F780-3C4A-4A7D-9537-F527751B3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96a75-7782-4131-adb0-32512da38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12</Pages>
  <Words>3219</Words>
  <Characters>17710</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197</cp:revision>
  <dcterms:created xsi:type="dcterms:W3CDTF">2020-12-15T07:34:00Z</dcterms:created>
  <dcterms:modified xsi:type="dcterms:W3CDTF">2021-01-12T20:55:00Z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0x010100E75E5656D5EF8F439F9DE0A63B413C97</vt:lpwstr>
  </property>
</Properties>
</file>